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D0" w:rsidRPr="00CD375A" w:rsidRDefault="00AB44D0" w:rsidP="00AB44D0">
      <w:pPr>
        <w:spacing w:line="480" w:lineRule="auto"/>
        <w:jc w:val="center"/>
        <w:rPr>
          <w:sz w:val="24"/>
          <w:szCs w:val="24"/>
        </w:rPr>
      </w:pPr>
      <w:r>
        <w:rPr>
          <w:sz w:val="24"/>
          <w:szCs w:val="24"/>
        </w:rPr>
        <w:t xml:space="preserve">Is There a Possible Relationship between a Child’s Environment and Child Maltreatment Allegations in Public Child Welfare? </w:t>
      </w:r>
    </w:p>
    <w:p w:rsidR="00AB44D0" w:rsidRPr="00CD375A" w:rsidRDefault="00AB44D0" w:rsidP="00AB44D0">
      <w:pPr>
        <w:spacing w:line="480" w:lineRule="auto"/>
        <w:jc w:val="center"/>
        <w:rPr>
          <w:sz w:val="24"/>
          <w:szCs w:val="24"/>
        </w:rPr>
      </w:pPr>
    </w:p>
    <w:p w:rsidR="00AB44D0" w:rsidRPr="00CD375A" w:rsidRDefault="00AB44D0" w:rsidP="00AB44D0">
      <w:pPr>
        <w:spacing w:line="480" w:lineRule="auto"/>
        <w:jc w:val="center"/>
        <w:rPr>
          <w:sz w:val="24"/>
          <w:szCs w:val="24"/>
        </w:rPr>
      </w:pPr>
      <w:bookmarkStart w:id="0" w:name="_GoBack"/>
      <w:bookmarkEnd w:id="0"/>
    </w:p>
    <w:p w:rsidR="00AB44D0" w:rsidRPr="00CD375A" w:rsidRDefault="00AB44D0" w:rsidP="00AB44D0">
      <w:pPr>
        <w:spacing w:line="480" w:lineRule="auto"/>
        <w:jc w:val="center"/>
        <w:rPr>
          <w:sz w:val="24"/>
          <w:szCs w:val="24"/>
        </w:rPr>
      </w:pPr>
    </w:p>
    <w:p w:rsidR="00AB44D0" w:rsidRPr="00CD375A" w:rsidRDefault="00AB44D0" w:rsidP="00AB44D0">
      <w:pPr>
        <w:spacing w:line="480" w:lineRule="auto"/>
        <w:jc w:val="center"/>
        <w:rPr>
          <w:sz w:val="24"/>
          <w:szCs w:val="24"/>
        </w:rPr>
      </w:pPr>
    </w:p>
    <w:p w:rsidR="00AB44D0" w:rsidRPr="00CD375A" w:rsidRDefault="00AB44D0" w:rsidP="00AB44D0">
      <w:pPr>
        <w:spacing w:line="480" w:lineRule="auto"/>
        <w:jc w:val="center"/>
        <w:rPr>
          <w:sz w:val="24"/>
          <w:szCs w:val="24"/>
        </w:rPr>
      </w:pPr>
    </w:p>
    <w:p w:rsidR="00AB44D0" w:rsidRPr="00CD375A" w:rsidRDefault="00AB44D0" w:rsidP="00AB44D0">
      <w:pPr>
        <w:spacing w:line="480" w:lineRule="auto"/>
        <w:jc w:val="center"/>
        <w:rPr>
          <w:sz w:val="24"/>
          <w:szCs w:val="24"/>
        </w:rPr>
      </w:pPr>
      <w:r w:rsidRPr="00CD375A">
        <w:rPr>
          <w:sz w:val="24"/>
          <w:szCs w:val="24"/>
        </w:rPr>
        <w:t>by</w:t>
      </w:r>
    </w:p>
    <w:p w:rsidR="00AB44D0" w:rsidRPr="00CD375A" w:rsidRDefault="00AB44D0" w:rsidP="00AB44D0">
      <w:pPr>
        <w:spacing w:line="480" w:lineRule="auto"/>
        <w:jc w:val="center"/>
        <w:rPr>
          <w:sz w:val="24"/>
          <w:szCs w:val="24"/>
        </w:rPr>
      </w:pPr>
      <w:r>
        <w:rPr>
          <w:sz w:val="24"/>
          <w:szCs w:val="24"/>
        </w:rPr>
        <w:t>Laura Flores Rios</w:t>
      </w:r>
    </w:p>
    <w:p w:rsidR="00AB44D0" w:rsidRPr="00CD375A" w:rsidRDefault="00AB44D0" w:rsidP="00AB44D0">
      <w:pPr>
        <w:spacing w:line="480" w:lineRule="auto"/>
        <w:jc w:val="center"/>
        <w:rPr>
          <w:sz w:val="24"/>
          <w:szCs w:val="24"/>
        </w:rPr>
      </w:pPr>
    </w:p>
    <w:p w:rsidR="00AB44D0" w:rsidRPr="00CD375A" w:rsidRDefault="00AB44D0" w:rsidP="00AB44D0">
      <w:pPr>
        <w:spacing w:line="480" w:lineRule="auto"/>
        <w:jc w:val="center"/>
        <w:rPr>
          <w:sz w:val="24"/>
          <w:szCs w:val="24"/>
        </w:rPr>
      </w:pPr>
    </w:p>
    <w:p w:rsidR="00AB44D0" w:rsidRPr="00CD375A" w:rsidRDefault="00AB44D0" w:rsidP="00AB44D0">
      <w:pPr>
        <w:spacing w:line="480" w:lineRule="auto"/>
        <w:jc w:val="center"/>
        <w:rPr>
          <w:sz w:val="24"/>
          <w:szCs w:val="24"/>
        </w:rPr>
      </w:pPr>
    </w:p>
    <w:p w:rsidR="00AB44D0" w:rsidRPr="00CD375A" w:rsidRDefault="00AB44D0" w:rsidP="00AB44D0">
      <w:pPr>
        <w:spacing w:line="480" w:lineRule="auto"/>
        <w:jc w:val="center"/>
        <w:rPr>
          <w:sz w:val="24"/>
          <w:szCs w:val="24"/>
        </w:rPr>
      </w:pPr>
      <w:r>
        <w:rPr>
          <w:sz w:val="24"/>
          <w:szCs w:val="24"/>
        </w:rPr>
        <w:t xml:space="preserve">A </w:t>
      </w:r>
      <w:r w:rsidRPr="00CD375A">
        <w:rPr>
          <w:sz w:val="24"/>
          <w:szCs w:val="24"/>
        </w:rPr>
        <w:t>project</w:t>
      </w:r>
    </w:p>
    <w:p w:rsidR="00AB44D0" w:rsidRPr="00CD375A" w:rsidRDefault="00AB44D0" w:rsidP="00AB44D0">
      <w:pPr>
        <w:spacing w:line="480" w:lineRule="auto"/>
        <w:jc w:val="center"/>
        <w:rPr>
          <w:sz w:val="24"/>
          <w:szCs w:val="24"/>
        </w:rPr>
      </w:pPr>
      <w:r w:rsidRPr="00CD375A">
        <w:rPr>
          <w:sz w:val="24"/>
          <w:szCs w:val="24"/>
        </w:rPr>
        <w:t>submitted in partial</w:t>
      </w:r>
    </w:p>
    <w:p w:rsidR="00AB44D0" w:rsidRPr="00CD375A" w:rsidRDefault="00AB44D0" w:rsidP="00AB44D0">
      <w:pPr>
        <w:spacing w:line="480" w:lineRule="auto"/>
        <w:jc w:val="center"/>
        <w:rPr>
          <w:sz w:val="24"/>
          <w:szCs w:val="24"/>
        </w:rPr>
      </w:pPr>
      <w:r w:rsidRPr="00CD375A">
        <w:rPr>
          <w:sz w:val="24"/>
          <w:szCs w:val="24"/>
        </w:rPr>
        <w:t>fulfillment of the requirements for the degree of</w:t>
      </w:r>
    </w:p>
    <w:p w:rsidR="00AB44D0" w:rsidRPr="00CD375A" w:rsidRDefault="00AB44D0" w:rsidP="00AB44D0">
      <w:pPr>
        <w:spacing w:line="480" w:lineRule="auto"/>
        <w:jc w:val="center"/>
        <w:rPr>
          <w:sz w:val="24"/>
          <w:szCs w:val="24"/>
        </w:rPr>
      </w:pPr>
      <w:r w:rsidRPr="00CD375A">
        <w:rPr>
          <w:sz w:val="24"/>
          <w:szCs w:val="24"/>
        </w:rPr>
        <w:t>Master of Social Work</w:t>
      </w:r>
    </w:p>
    <w:p w:rsidR="00AB44D0" w:rsidRPr="00CD375A" w:rsidRDefault="00AB44D0" w:rsidP="00AB44D0">
      <w:pPr>
        <w:spacing w:line="480" w:lineRule="auto"/>
        <w:jc w:val="center"/>
        <w:rPr>
          <w:sz w:val="24"/>
          <w:szCs w:val="24"/>
        </w:rPr>
      </w:pPr>
      <w:r w:rsidRPr="00CD375A">
        <w:rPr>
          <w:sz w:val="24"/>
          <w:szCs w:val="24"/>
        </w:rPr>
        <w:t>in the College of Health and Human Services</w:t>
      </w:r>
    </w:p>
    <w:p w:rsidR="00AB44D0" w:rsidRPr="00CD375A" w:rsidRDefault="00AB44D0" w:rsidP="00AB44D0">
      <w:pPr>
        <w:spacing w:line="480" w:lineRule="auto"/>
        <w:jc w:val="center"/>
        <w:rPr>
          <w:sz w:val="24"/>
          <w:szCs w:val="24"/>
        </w:rPr>
      </w:pPr>
      <w:r w:rsidRPr="00CD375A">
        <w:rPr>
          <w:sz w:val="24"/>
          <w:szCs w:val="24"/>
        </w:rPr>
        <w:t>California State University, Fresno</w:t>
      </w:r>
    </w:p>
    <w:p w:rsidR="00AB44D0" w:rsidRDefault="00AB44D0" w:rsidP="00AB44D0">
      <w:pPr>
        <w:spacing w:line="480" w:lineRule="auto"/>
        <w:jc w:val="center"/>
        <w:rPr>
          <w:sz w:val="24"/>
          <w:szCs w:val="24"/>
        </w:rPr>
      </w:pPr>
      <w:r>
        <w:rPr>
          <w:sz w:val="24"/>
          <w:szCs w:val="24"/>
        </w:rPr>
        <w:t>May, 2014</w:t>
      </w:r>
    </w:p>
    <w:p w:rsidR="00AB44D0" w:rsidRDefault="00AB44D0" w:rsidP="00AB44D0">
      <w:pPr>
        <w:jc w:val="center"/>
        <w:rPr>
          <w:b/>
          <w:sz w:val="24"/>
        </w:rPr>
      </w:pPr>
      <w:r>
        <w:rPr>
          <w:szCs w:val="24"/>
        </w:rPr>
        <w:br w:type="page"/>
      </w:r>
      <w:r>
        <w:rPr>
          <w:b/>
          <w:sz w:val="24"/>
        </w:rPr>
        <w:lastRenderedPageBreak/>
        <w:t>ABSTRACT</w:t>
      </w:r>
    </w:p>
    <w:p w:rsidR="00AB44D0" w:rsidRDefault="00AB44D0" w:rsidP="00AB44D0">
      <w:pPr>
        <w:jc w:val="center"/>
        <w:rPr>
          <w:b/>
          <w:sz w:val="24"/>
        </w:rPr>
      </w:pPr>
    </w:p>
    <w:p w:rsidR="00AB44D0" w:rsidRDefault="00AB44D0" w:rsidP="00AB44D0">
      <w:pPr>
        <w:jc w:val="center"/>
        <w:rPr>
          <w:b/>
          <w:sz w:val="24"/>
        </w:rPr>
      </w:pPr>
    </w:p>
    <w:p w:rsidR="00AB44D0" w:rsidRDefault="00AB44D0" w:rsidP="00AB44D0">
      <w:pPr>
        <w:rPr>
          <w:b/>
          <w:sz w:val="24"/>
        </w:rPr>
      </w:pPr>
      <w:r w:rsidRPr="007B26C4">
        <w:rPr>
          <w:b/>
          <w:sz w:val="24"/>
        </w:rPr>
        <w:t>Is There a Possible Relationship between a Child’s Environment and Chi</w:t>
      </w:r>
      <w:r>
        <w:rPr>
          <w:b/>
          <w:sz w:val="24"/>
        </w:rPr>
        <w:t xml:space="preserve">ld Maltreatment Allegations </w:t>
      </w:r>
      <w:r w:rsidRPr="007B26C4">
        <w:rPr>
          <w:b/>
          <w:sz w:val="24"/>
        </w:rPr>
        <w:t xml:space="preserve">in Public Child Welfare? </w:t>
      </w:r>
    </w:p>
    <w:p w:rsidR="00AB44D0" w:rsidRDefault="00AB44D0" w:rsidP="00AB44D0">
      <w:pPr>
        <w:rPr>
          <w:b/>
          <w:sz w:val="24"/>
        </w:rPr>
      </w:pPr>
    </w:p>
    <w:p w:rsidR="00AB44D0" w:rsidRDefault="00AB44D0" w:rsidP="00AB44D0">
      <w:pPr>
        <w:spacing w:line="480" w:lineRule="auto"/>
        <w:rPr>
          <w:sz w:val="24"/>
          <w:szCs w:val="24"/>
        </w:rPr>
      </w:pPr>
      <w:r>
        <w:rPr>
          <w:sz w:val="24"/>
          <w:szCs w:val="24"/>
        </w:rPr>
        <w:t xml:space="preserve">Environmental injustice is a worldwide problem that has been around since the early 1970’s. </w:t>
      </w:r>
      <w:r w:rsidR="00681942">
        <w:rPr>
          <w:sz w:val="24"/>
          <w:szCs w:val="24"/>
        </w:rPr>
        <w:t xml:space="preserve">Previous </w:t>
      </w:r>
      <w:r>
        <w:rPr>
          <w:sz w:val="24"/>
          <w:szCs w:val="24"/>
        </w:rPr>
        <w:t>research has found that hazardous industries are more likely to be placed in impoverished communities, thus, increasing the likelihood for children to develop health problems</w:t>
      </w:r>
      <w:r w:rsidR="000444A6">
        <w:rPr>
          <w:sz w:val="24"/>
          <w:szCs w:val="24"/>
        </w:rPr>
        <w:t>.</w:t>
      </w:r>
      <w:r>
        <w:rPr>
          <w:sz w:val="24"/>
          <w:szCs w:val="24"/>
        </w:rPr>
        <w:t xml:space="preserve"> The goal of this research is to understand the detrimental impacts environmental injustice can have on children and families residing in impoverished communities and the role this </w:t>
      </w:r>
      <w:r w:rsidR="00681942">
        <w:rPr>
          <w:sz w:val="24"/>
          <w:szCs w:val="24"/>
        </w:rPr>
        <w:t xml:space="preserve">may </w:t>
      </w:r>
      <w:r>
        <w:rPr>
          <w:sz w:val="24"/>
          <w:szCs w:val="24"/>
        </w:rPr>
        <w:t>play</w:t>
      </w:r>
      <w:r w:rsidR="00681942">
        <w:rPr>
          <w:sz w:val="24"/>
          <w:szCs w:val="24"/>
        </w:rPr>
        <w:t xml:space="preserve"> in children coming to</w:t>
      </w:r>
      <w:r>
        <w:rPr>
          <w:sz w:val="24"/>
          <w:szCs w:val="24"/>
        </w:rPr>
        <w:t xml:space="preserve"> the </w:t>
      </w:r>
      <w:r w:rsidR="00E37CF4">
        <w:rPr>
          <w:sz w:val="24"/>
          <w:szCs w:val="24"/>
        </w:rPr>
        <w:t xml:space="preserve">attention of the </w:t>
      </w:r>
      <w:r>
        <w:rPr>
          <w:sz w:val="24"/>
          <w:szCs w:val="24"/>
        </w:rPr>
        <w:t xml:space="preserve">child welfare system. This study utilized </w:t>
      </w:r>
      <w:r w:rsidR="00E37CF4">
        <w:rPr>
          <w:sz w:val="24"/>
          <w:szCs w:val="24"/>
        </w:rPr>
        <w:t>four</w:t>
      </w:r>
      <w:r w:rsidR="007423E0">
        <w:rPr>
          <w:sz w:val="24"/>
          <w:szCs w:val="24"/>
        </w:rPr>
        <w:t xml:space="preserve"> indicators</w:t>
      </w:r>
      <w:r>
        <w:rPr>
          <w:sz w:val="24"/>
          <w:szCs w:val="24"/>
        </w:rPr>
        <w:t xml:space="preserve"> which consist of: water quality, air quality, asthma, and child maltreatment allegations. The researcher compared the</w:t>
      </w:r>
      <w:r w:rsidR="0093147B">
        <w:rPr>
          <w:sz w:val="24"/>
          <w:szCs w:val="24"/>
        </w:rPr>
        <w:t>se</w:t>
      </w:r>
      <w:r>
        <w:rPr>
          <w:sz w:val="24"/>
          <w:szCs w:val="24"/>
        </w:rPr>
        <w:t xml:space="preserve"> indicators in Fresno County through a secondary data analysis utilizing public data sets from the </w:t>
      </w:r>
      <w:r w:rsidR="007A33CA" w:rsidRPr="000F20BD">
        <w:rPr>
          <w:sz w:val="24"/>
          <w:szCs w:val="24"/>
        </w:rPr>
        <w:t>U.S. Census, the Center for Social Services Research at University of California, Berkeley, and the Department of Public Health</w:t>
      </w:r>
      <w:r w:rsidR="007A33CA">
        <w:rPr>
          <w:sz w:val="24"/>
          <w:szCs w:val="24"/>
        </w:rPr>
        <w:t>, administrative county data, The California Environmental Protection Agency, and the Center for Disease Control and Prevention Agency.</w:t>
      </w:r>
      <w:r>
        <w:rPr>
          <w:sz w:val="24"/>
          <w:szCs w:val="24"/>
        </w:rPr>
        <w:t xml:space="preserve"> The results of the study demonstrated that communities in Fresno County with zip code 93706 and 93702 are more likely to live below</w:t>
      </w:r>
      <w:r w:rsidR="00694B5B">
        <w:rPr>
          <w:sz w:val="24"/>
          <w:szCs w:val="24"/>
        </w:rPr>
        <w:t xml:space="preserve"> the Federal </w:t>
      </w:r>
      <w:r>
        <w:rPr>
          <w:sz w:val="24"/>
          <w:szCs w:val="24"/>
        </w:rPr>
        <w:t>poverty level, have to endure bad air and water quality, and</w:t>
      </w:r>
      <w:r w:rsidR="00694B5B">
        <w:rPr>
          <w:sz w:val="24"/>
          <w:szCs w:val="24"/>
        </w:rPr>
        <w:t xml:space="preserve"> have higher rates of </w:t>
      </w:r>
      <w:r w:rsidR="00665C96" w:rsidRPr="007423E0">
        <w:rPr>
          <w:sz w:val="24"/>
          <w:szCs w:val="24"/>
        </w:rPr>
        <w:t>substantiated child maltreatment allegations</w:t>
      </w:r>
      <w:r w:rsidRPr="007423E0">
        <w:rPr>
          <w:sz w:val="24"/>
          <w:szCs w:val="24"/>
        </w:rPr>
        <w:t>.</w:t>
      </w:r>
      <w:r>
        <w:rPr>
          <w:sz w:val="24"/>
          <w:szCs w:val="24"/>
        </w:rPr>
        <w:t xml:space="preserve"> </w:t>
      </w:r>
    </w:p>
    <w:p w:rsidR="00AB44D0" w:rsidRDefault="00AB44D0" w:rsidP="00AB44D0">
      <w:pPr>
        <w:spacing w:line="480" w:lineRule="auto"/>
        <w:rPr>
          <w:sz w:val="24"/>
          <w:szCs w:val="24"/>
        </w:rPr>
      </w:pPr>
    </w:p>
    <w:p w:rsidR="00AB44D0" w:rsidRDefault="00AB44D0" w:rsidP="00AB44D0">
      <w:pPr>
        <w:rPr>
          <w:sz w:val="24"/>
          <w:szCs w:val="24"/>
        </w:rPr>
      </w:pPr>
      <w:r>
        <w:rPr>
          <w:sz w:val="24"/>
          <w:szCs w:val="24"/>
        </w:rPr>
        <w:t>Author Name: Laura Flores Rios</w:t>
      </w:r>
    </w:p>
    <w:p w:rsidR="00AB44D0" w:rsidRDefault="00AB44D0" w:rsidP="00AB44D0">
      <w:pPr>
        <w:rPr>
          <w:sz w:val="24"/>
          <w:szCs w:val="24"/>
        </w:rPr>
      </w:pPr>
      <w:r>
        <w:rPr>
          <w:sz w:val="24"/>
          <w:szCs w:val="24"/>
        </w:rPr>
        <w:t>Date: May, 2014</w:t>
      </w:r>
    </w:p>
    <w:p w:rsidR="00AB44D0" w:rsidRDefault="00AB44D0" w:rsidP="00AB44D0">
      <w:pPr>
        <w:rPr>
          <w:sz w:val="24"/>
          <w:szCs w:val="24"/>
        </w:rPr>
      </w:pPr>
    </w:p>
    <w:p w:rsidR="00AB44D0" w:rsidRDefault="00AB44D0" w:rsidP="00AB44D0">
      <w:pPr>
        <w:rPr>
          <w:sz w:val="24"/>
          <w:szCs w:val="24"/>
        </w:rPr>
      </w:pPr>
      <w:r>
        <w:rPr>
          <w:sz w:val="24"/>
          <w:szCs w:val="24"/>
        </w:rPr>
        <w:t>Chair: Dr. Salvador Montana</w:t>
      </w:r>
    </w:p>
    <w:p w:rsidR="00AB44D0" w:rsidRDefault="00AB44D0" w:rsidP="00AB44D0">
      <w:pPr>
        <w:rPr>
          <w:sz w:val="24"/>
          <w:szCs w:val="24"/>
        </w:rPr>
      </w:pPr>
    </w:p>
    <w:p w:rsidR="00AB44D0" w:rsidRDefault="00AB44D0" w:rsidP="00AB44D0">
      <w:pPr>
        <w:rPr>
          <w:sz w:val="24"/>
          <w:szCs w:val="24"/>
        </w:rPr>
      </w:pPr>
      <w:r>
        <w:rPr>
          <w:sz w:val="24"/>
          <w:szCs w:val="24"/>
        </w:rPr>
        <w:t>Reader: Dr. Kris Clarke</w:t>
      </w:r>
    </w:p>
    <w:p w:rsidR="0048100A" w:rsidRPr="00030F5A" w:rsidRDefault="00AB44D0" w:rsidP="0048100A">
      <w:pPr>
        <w:spacing w:line="480" w:lineRule="auto"/>
        <w:jc w:val="center"/>
        <w:rPr>
          <w:b/>
          <w:sz w:val="24"/>
          <w:szCs w:val="24"/>
        </w:rPr>
      </w:pPr>
      <w:r>
        <w:rPr>
          <w:sz w:val="24"/>
          <w:szCs w:val="24"/>
        </w:rPr>
        <w:br w:type="page"/>
      </w:r>
      <w:r w:rsidR="00694B5B">
        <w:rPr>
          <w:b/>
          <w:sz w:val="24"/>
          <w:szCs w:val="24"/>
        </w:rPr>
        <w:lastRenderedPageBreak/>
        <w:t>Executive Summary</w:t>
      </w:r>
    </w:p>
    <w:p w:rsidR="0048100A" w:rsidRDefault="0048100A" w:rsidP="007D1423">
      <w:pPr>
        <w:spacing w:line="480" w:lineRule="auto"/>
        <w:ind w:firstLine="720"/>
        <w:rPr>
          <w:sz w:val="24"/>
          <w:szCs w:val="24"/>
        </w:rPr>
      </w:pPr>
      <w:r>
        <w:rPr>
          <w:sz w:val="24"/>
          <w:szCs w:val="24"/>
        </w:rPr>
        <w:t xml:space="preserve">Environmental injustice is a worldwide problem that has been around since the early 1970’s. </w:t>
      </w:r>
      <w:r w:rsidR="00FF1187">
        <w:rPr>
          <w:sz w:val="24"/>
          <w:szCs w:val="24"/>
        </w:rPr>
        <w:t>R</w:t>
      </w:r>
      <w:r>
        <w:rPr>
          <w:sz w:val="24"/>
          <w:szCs w:val="24"/>
        </w:rPr>
        <w:t xml:space="preserve">esearch has found that hazardous industries are more likely to be placed in impoverished communities, thus, increasing the likelihood for children to develop health problems (Waldfogel, 2005). </w:t>
      </w:r>
      <w:r w:rsidR="009D37A7">
        <w:rPr>
          <w:sz w:val="24"/>
          <w:szCs w:val="24"/>
        </w:rPr>
        <w:t>R</w:t>
      </w:r>
      <w:r>
        <w:rPr>
          <w:sz w:val="24"/>
          <w:szCs w:val="24"/>
        </w:rPr>
        <w:t>egardless of the vast amount of research conducted on the topic,</w:t>
      </w:r>
      <w:r w:rsidR="009D37A7">
        <w:rPr>
          <w:sz w:val="24"/>
          <w:szCs w:val="24"/>
        </w:rPr>
        <w:t xml:space="preserve"> there are</w:t>
      </w:r>
      <w:r>
        <w:rPr>
          <w:sz w:val="24"/>
          <w:szCs w:val="24"/>
        </w:rPr>
        <w:t xml:space="preserve"> still rural communities in California’s Central Valley that lack information regarding the environmental conditions they live under. This research study utilize</w:t>
      </w:r>
      <w:r w:rsidR="009D37A7">
        <w:rPr>
          <w:sz w:val="24"/>
          <w:szCs w:val="24"/>
        </w:rPr>
        <w:t>d</w:t>
      </w:r>
      <w:r>
        <w:rPr>
          <w:sz w:val="24"/>
          <w:szCs w:val="24"/>
        </w:rPr>
        <w:t xml:space="preserve"> </w:t>
      </w:r>
      <w:r w:rsidR="00273B65">
        <w:rPr>
          <w:sz w:val="24"/>
          <w:szCs w:val="24"/>
        </w:rPr>
        <w:t xml:space="preserve">a </w:t>
      </w:r>
      <w:r>
        <w:rPr>
          <w:sz w:val="24"/>
          <w:szCs w:val="24"/>
        </w:rPr>
        <w:t>secondary data analysis to examine environmental injustice and detrimental health problems in California’s Central Valley</w:t>
      </w:r>
      <w:r w:rsidR="003404BC">
        <w:rPr>
          <w:sz w:val="24"/>
          <w:szCs w:val="24"/>
        </w:rPr>
        <w:t xml:space="preserve"> and how environmental injustice may exacerbate health condition related to allegations of child neglect.</w:t>
      </w:r>
    </w:p>
    <w:p w:rsidR="006A0B58" w:rsidRPr="00026CD9" w:rsidRDefault="00BE328C" w:rsidP="006A0B58">
      <w:pPr>
        <w:spacing w:line="480" w:lineRule="auto"/>
        <w:ind w:firstLine="720"/>
        <w:rPr>
          <w:sz w:val="24"/>
          <w:szCs w:val="24"/>
        </w:rPr>
      </w:pPr>
      <w:r w:rsidRPr="00BB4434">
        <w:rPr>
          <w:sz w:val="24"/>
          <w:szCs w:val="24"/>
        </w:rPr>
        <w:t>In this research study</w:t>
      </w:r>
      <w:r w:rsidRPr="00CA7B56">
        <w:rPr>
          <w:sz w:val="24"/>
          <w:szCs w:val="24"/>
        </w:rPr>
        <w:t xml:space="preserve">, environmental injustice is defined as an unequal placement of hazardous industries that may cause chronic health illnesses, malnourishment, infant mortality, cellular mutation, shorter life expectancy, cognitive developmental delays, premature births, high lead levels, pollution, and birth defects. Child maltreatment includes physical abuse, </w:t>
      </w:r>
      <w:r w:rsidRPr="00026CD9">
        <w:rPr>
          <w:sz w:val="24"/>
          <w:szCs w:val="24"/>
        </w:rPr>
        <w:t>sexual abuse, emotional abuse, and neglect of a child under the age of eighteen. Child neglect is characterized by a parent’s failure to protect and provide a safe environment for their children.</w:t>
      </w:r>
    </w:p>
    <w:p w:rsidR="00857CDF" w:rsidRDefault="0048100A" w:rsidP="00857CDF">
      <w:pPr>
        <w:spacing w:line="480" w:lineRule="auto"/>
        <w:ind w:firstLine="720"/>
        <w:rPr>
          <w:sz w:val="24"/>
          <w:szCs w:val="24"/>
        </w:rPr>
      </w:pPr>
      <w:r w:rsidRPr="00026CD9">
        <w:rPr>
          <w:sz w:val="24"/>
          <w:szCs w:val="24"/>
        </w:rPr>
        <w:t>The purpose of this research study is to further explore the relationship between environmental injustice and child maltreatment allegations, and to allow non-profit</w:t>
      </w:r>
      <w:r w:rsidRPr="003A1F36">
        <w:rPr>
          <w:sz w:val="24"/>
          <w:szCs w:val="24"/>
        </w:rPr>
        <w:t xml:space="preserve"> organizations</w:t>
      </w:r>
      <w:r>
        <w:rPr>
          <w:sz w:val="24"/>
          <w:szCs w:val="24"/>
        </w:rPr>
        <w:t>, policy makers,</w:t>
      </w:r>
      <w:r w:rsidRPr="003A1F36">
        <w:rPr>
          <w:sz w:val="24"/>
          <w:szCs w:val="24"/>
        </w:rPr>
        <w:t xml:space="preserve"> and Child Protective Services to utilize this research as a tool to advocate for environmentally disadvantaged communities in California’s Central Valley. </w:t>
      </w:r>
      <w:r w:rsidR="00DB7A2C" w:rsidRPr="003A1F36">
        <w:rPr>
          <w:sz w:val="24"/>
          <w:szCs w:val="24"/>
        </w:rPr>
        <w:t xml:space="preserve">The intention of this study is to inform society members of the effect environmental injustice </w:t>
      </w:r>
      <w:r w:rsidR="00DB7A2C">
        <w:rPr>
          <w:sz w:val="24"/>
          <w:szCs w:val="24"/>
        </w:rPr>
        <w:t>may</w:t>
      </w:r>
      <w:r w:rsidR="006A0B58">
        <w:rPr>
          <w:sz w:val="24"/>
          <w:szCs w:val="24"/>
        </w:rPr>
        <w:t xml:space="preserve"> </w:t>
      </w:r>
      <w:r w:rsidR="00DB7A2C">
        <w:rPr>
          <w:sz w:val="24"/>
          <w:szCs w:val="24"/>
        </w:rPr>
        <w:t xml:space="preserve">possibly </w:t>
      </w:r>
      <w:r w:rsidR="00DB7A2C" w:rsidRPr="003A1F36">
        <w:rPr>
          <w:sz w:val="24"/>
          <w:szCs w:val="24"/>
        </w:rPr>
        <w:t>have on child neglect in local communities in California’s Central Valley, where a high number of agricultural businesses are placed</w:t>
      </w:r>
      <w:r w:rsidR="00857CDF" w:rsidRPr="003A1F36">
        <w:rPr>
          <w:sz w:val="24"/>
          <w:szCs w:val="24"/>
        </w:rPr>
        <w:t>.</w:t>
      </w:r>
    </w:p>
    <w:p w:rsidR="007D06DF" w:rsidRPr="007D1423" w:rsidRDefault="00694B5B" w:rsidP="007D1423">
      <w:pPr>
        <w:spacing w:line="480" w:lineRule="auto"/>
        <w:jc w:val="center"/>
        <w:rPr>
          <w:sz w:val="24"/>
          <w:szCs w:val="24"/>
          <w:u w:val="single"/>
        </w:rPr>
      </w:pPr>
      <w:r w:rsidRPr="007D1423">
        <w:rPr>
          <w:sz w:val="24"/>
          <w:szCs w:val="24"/>
          <w:u w:val="single"/>
        </w:rPr>
        <w:lastRenderedPageBreak/>
        <w:t>Literature Review</w:t>
      </w:r>
    </w:p>
    <w:p w:rsidR="0063081D" w:rsidRPr="007F3F1E" w:rsidRDefault="0063081D" w:rsidP="0063081D">
      <w:pPr>
        <w:spacing w:line="480" w:lineRule="auto"/>
        <w:ind w:firstLine="720"/>
      </w:pPr>
      <w:r w:rsidRPr="00A80C72">
        <w:rPr>
          <w:sz w:val="24"/>
          <w:szCs w:val="24"/>
        </w:rPr>
        <w:t>Countless studies have found</w:t>
      </w:r>
      <w:r>
        <w:rPr>
          <w:sz w:val="24"/>
          <w:szCs w:val="24"/>
        </w:rPr>
        <w:t xml:space="preserve"> that exposing communities to hazardous toxins has an adverse effect on the psychological, emotional, and physiological wellbeing of children and their families. Wadfogel (2005</w:t>
      </w:r>
      <w:r w:rsidR="00F34FB9">
        <w:rPr>
          <w:sz w:val="24"/>
          <w:szCs w:val="24"/>
        </w:rPr>
        <w:t>), analyzed</w:t>
      </w:r>
      <w:r>
        <w:rPr>
          <w:sz w:val="24"/>
          <w:szCs w:val="24"/>
        </w:rPr>
        <w:t xml:space="preserve"> the relationship between income, family characteristics, and child maltreatment and found a strong correlation between family characteristics and child maltreatment across all family types. Ernest</w:t>
      </w:r>
      <w:r w:rsidR="006A0B58">
        <w:rPr>
          <w:sz w:val="24"/>
          <w:szCs w:val="24"/>
        </w:rPr>
        <w:t xml:space="preserve"> (2001</w:t>
      </w:r>
      <w:r w:rsidR="005840A7">
        <w:rPr>
          <w:sz w:val="24"/>
          <w:szCs w:val="24"/>
        </w:rPr>
        <w:t>)</w:t>
      </w:r>
      <w:r w:rsidR="00D35009">
        <w:rPr>
          <w:sz w:val="24"/>
          <w:szCs w:val="24"/>
        </w:rPr>
        <w:t xml:space="preserve"> </w:t>
      </w:r>
      <w:r>
        <w:rPr>
          <w:sz w:val="24"/>
          <w:szCs w:val="24"/>
        </w:rPr>
        <w:t xml:space="preserve">conducted a quantitative study utilizing the US Census and Montgomery County’s database to analyze the relationship between environmental factors and child maltreatment reports. His results found that economically and racially mixed communities had the highest rates of child maltreatment </w:t>
      </w:r>
      <w:r w:rsidRPr="0047002D">
        <w:rPr>
          <w:sz w:val="24"/>
          <w:szCs w:val="24"/>
        </w:rPr>
        <w:t>(Coulton, Korbin, Su &amp; Chow, 1995)</w:t>
      </w:r>
      <w:r>
        <w:rPr>
          <w:sz w:val="24"/>
          <w:szCs w:val="24"/>
        </w:rPr>
        <w:t>. Accord</w:t>
      </w:r>
      <w:r w:rsidR="00F34FB9">
        <w:rPr>
          <w:sz w:val="24"/>
          <w:szCs w:val="24"/>
        </w:rPr>
        <w:t xml:space="preserve">ing to Hecht and Hansen (2001), </w:t>
      </w:r>
      <w:r>
        <w:rPr>
          <w:sz w:val="24"/>
          <w:szCs w:val="24"/>
        </w:rPr>
        <w:t>one’s environment, which includes family, friends, neighborhood, socio-economic status, and ethnicity, can have a great impact on the psychopathology of children. Hecht and Hansen (2001)</w:t>
      </w:r>
      <w:r w:rsidR="00D35009">
        <w:rPr>
          <w:sz w:val="24"/>
          <w:szCs w:val="24"/>
        </w:rPr>
        <w:t xml:space="preserve">, </w:t>
      </w:r>
      <w:r>
        <w:rPr>
          <w:sz w:val="24"/>
          <w:szCs w:val="24"/>
        </w:rPr>
        <w:t xml:space="preserve">found that poverty is a chronic environmental condition that has a direct effect on children’s lives, and often contributes to the adverse effects that poor children are forced to face on a day to day basis.  According to Hecht and Hansen (2001), caregivers and children who reside in low socio economic neighborhoods and are exposed to toxins are victims of their environment. As a result of their environment, individuals who reside in these communities tend to have higher stress levels than their wealthier </w:t>
      </w:r>
      <w:r w:rsidRPr="003C5EB6">
        <w:rPr>
          <w:sz w:val="24"/>
          <w:szCs w:val="24"/>
        </w:rPr>
        <w:t>counterparts</w:t>
      </w:r>
      <w:r w:rsidRPr="006702C0">
        <w:rPr>
          <w:sz w:val="24"/>
          <w:szCs w:val="24"/>
        </w:rPr>
        <w:t xml:space="preserve">. </w:t>
      </w:r>
      <w:r w:rsidRPr="00694B5B">
        <w:rPr>
          <w:sz w:val="24"/>
          <w:szCs w:val="24"/>
        </w:rPr>
        <w:t>Coulton, Korbin, Su, &amp;Chow (1995),</w:t>
      </w:r>
      <w:r w:rsidRPr="006702C0">
        <w:rPr>
          <w:sz w:val="24"/>
          <w:szCs w:val="24"/>
        </w:rPr>
        <w:t xml:space="preserve"> furthermore, found environmental factors to be related to official reports of child maltreatment. Coulton et al.’s research study demonstrates the impact one’s environment can have on society’s perception of child neglect.</w:t>
      </w:r>
      <w:r w:rsidR="002E34C5">
        <w:rPr>
          <w:sz w:val="24"/>
          <w:szCs w:val="24"/>
        </w:rPr>
        <w:t xml:space="preserve"> </w:t>
      </w:r>
      <w:r w:rsidR="002E34C5" w:rsidRPr="00694B5B">
        <w:rPr>
          <w:sz w:val="24"/>
          <w:szCs w:val="24"/>
        </w:rPr>
        <w:t xml:space="preserve">Coulton’s research found that children who reside in neighborhoods that are characterized by poverty, racially mixed communities and concentration of female headed households are at a higher risk of </w:t>
      </w:r>
      <w:r w:rsidR="00694B5B" w:rsidRPr="00694B5B">
        <w:rPr>
          <w:sz w:val="24"/>
          <w:szCs w:val="24"/>
        </w:rPr>
        <w:t xml:space="preserve">reported </w:t>
      </w:r>
      <w:r w:rsidR="002E34C5" w:rsidRPr="00694B5B">
        <w:rPr>
          <w:sz w:val="24"/>
          <w:szCs w:val="24"/>
        </w:rPr>
        <w:t>child maltreatment.</w:t>
      </w:r>
      <w:r w:rsidR="002E34C5">
        <w:rPr>
          <w:sz w:val="24"/>
          <w:szCs w:val="24"/>
        </w:rPr>
        <w:t xml:space="preserve"> </w:t>
      </w:r>
    </w:p>
    <w:p w:rsidR="0063081D" w:rsidRDefault="0063081D" w:rsidP="0063081D">
      <w:pPr>
        <w:spacing w:line="480" w:lineRule="auto"/>
        <w:ind w:firstLine="720"/>
        <w:rPr>
          <w:sz w:val="24"/>
          <w:szCs w:val="24"/>
        </w:rPr>
      </w:pPr>
      <w:r>
        <w:rPr>
          <w:sz w:val="24"/>
          <w:szCs w:val="24"/>
        </w:rPr>
        <w:lastRenderedPageBreak/>
        <w:t>One’s environment affects an individual’s psychological, emotional, and physiological health. Sze’s (2006) research study, conducted on low income, predominantly African American rural communities in New Orleans, found that cancer and respiratory illness rates in the region are among the highest in the United States. Her research found that over eight toxic waste dumps, in New Orleans, are placed primarily in impoverished communities, making them more likely to be exposed to persistent organic pollutants (POPs) that are extremely toxic, long lasting, and can travel long distances. The exposure of POP</w:t>
      </w:r>
      <w:r w:rsidR="00D56927">
        <w:rPr>
          <w:sz w:val="24"/>
          <w:szCs w:val="24"/>
        </w:rPr>
        <w:t>’</w:t>
      </w:r>
      <w:r>
        <w:rPr>
          <w:sz w:val="24"/>
          <w:szCs w:val="24"/>
        </w:rPr>
        <w:t>s can</w:t>
      </w:r>
      <w:r w:rsidR="00857CDF">
        <w:rPr>
          <w:sz w:val="24"/>
          <w:szCs w:val="24"/>
        </w:rPr>
        <w:t xml:space="preserve"> lead</w:t>
      </w:r>
      <w:r>
        <w:rPr>
          <w:sz w:val="24"/>
          <w:szCs w:val="24"/>
        </w:rPr>
        <w:t xml:space="preserve"> to higher rates of infectious diseases and immune dysfunction, which can in turn have a negative impact on the intellectual development of newborns </w:t>
      </w:r>
      <w:r w:rsidRPr="00860C67">
        <w:rPr>
          <w:sz w:val="24"/>
          <w:szCs w:val="24"/>
        </w:rPr>
        <w:t>(Boerner &amp; Lambert, 1995)</w:t>
      </w:r>
      <w:r>
        <w:rPr>
          <w:sz w:val="24"/>
          <w:szCs w:val="24"/>
        </w:rPr>
        <w:t>.</w:t>
      </w:r>
      <w:r w:rsidRPr="002A654D">
        <w:rPr>
          <w:sz w:val="24"/>
          <w:szCs w:val="24"/>
        </w:rPr>
        <w:t>This, in turn, can be misinterpreted by governmental agencies</w:t>
      </w:r>
      <w:r w:rsidR="00857CDF">
        <w:rPr>
          <w:sz w:val="24"/>
          <w:szCs w:val="24"/>
        </w:rPr>
        <w:t>, such as hospitals,</w:t>
      </w:r>
      <w:r w:rsidRPr="002A654D">
        <w:rPr>
          <w:sz w:val="24"/>
          <w:szCs w:val="24"/>
        </w:rPr>
        <w:t xml:space="preserve"> as child neglect</w:t>
      </w:r>
      <w:r w:rsidR="00857CDF">
        <w:rPr>
          <w:sz w:val="24"/>
          <w:szCs w:val="24"/>
        </w:rPr>
        <w:t xml:space="preserve">. </w:t>
      </w:r>
      <w:r w:rsidR="00694B5B">
        <w:rPr>
          <w:sz w:val="24"/>
          <w:szCs w:val="24"/>
        </w:rPr>
        <w:t>For example, c</w:t>
      </w:r>
      <w:r w:rsidR="009235A9">
        <w:rPr>
          <w:sz w:val="24"/>
          <w:szCs w:val="24"/>
        </w:rPr>
        <w:t xml:space="preserve">hildren with immune dysfunctions and developmentally delayed newborns can be perceived </w:t>
      </w:r>
      <w:r w:rsidR="00694B5B">
        <w:rPr>
          <w:sz w:val="24"/>
          <w:szCs w:val="24"/>
        </w:rPr>
        <w:t xml:space="preserve">as resulting from </w:t>
      </w:r>
      <w:r w:rsidR="009235A9">
        <w:rPr>
          <w:sz w:val="24"/>
          <w:szCs w:val="24"/>
        </w:rPr>
        <w:t xml:space="preserve">substance abuse or child neglect by hospitals thus </w:t>
      </w:r>
      <w:r w:rsidR="00694B5B">
        <w:rPr>
          <w:sz w:val="24"/>
          <w:szCs w:val="24"/>
        </w:rPr>
        <w:t xml:space="preserve">generating </w:t>
      </w:r>
      <w:r w:rsidR="009235A9">
        <w:rPr>
          <w:sz w:val="24"/>
          <w:szCs w:val="24"/>
        </w:rPr>
        <w:t>a report of suspected child abuse to Child Protective Agencies</w:t>
      </w:r>
      <w:r w:rsidRPr="002A654D">
        <w:rPr>
          <w:sz w:val="24"/>
          <w:szCs w:val="24"/>
        </w:rPr>
        <w:t>.</w:t>
      </w:r>
    </w:p>
    <w:p w:rsidR="007D06DF" w:rsidRPr="007D1423" w:rsidRDefault="007D06DF" w:rsidP="007D1423">
      <w:pPr>
        <w:spacing w:line="480" w:lineRule="auto"/>
        <w:jc w:val="center"/>
        <w:rPr>
          <w:sz w:val="24"/>
          <w:szCs w:val="24"/>
          <w:u w:val="single"/>
        </w:rPr>
      </w:pPr>
      <w:r w:rsidRPr="007D1423">
        <w:rPr>
          <w:sz w:val="24"/>
          <w:szCs w:val="24"/>
          <w:u w:val="single"/>
        </w:rPr>
        <w:t>Gaps in the Literature</w:t>
      </w:r>
    </w:p>
    <w:p w:rsidR="0063081D" w:rsidRDefault="007D06DF" w:rsidP="007D06DF">
      <w:pPr>
        <w:spacing w:line="480" w:lineRule="auto"/>
        <w:ind w:firstLine="720"/>
        <w:rPr>
          <w:sz w:val="24"/>
          <w:szCs w:val="24"/>
        </w:rPr>
      </w:pPr>
      <w:r>
        <w:rPr>
          <w:sz w:val="24"/>
          <w:szCs w:val="24"/>
        </w:rPr>
        <w:t xml:space="preserve">Although former research studies have provided a strong foundation on the concept of environmental injustice, there is still need for more local research on the matter in California’s Central Valley. The majority of the research conducted </w:t>
      </w:r>
      <w:r w:rsidR="00A410F3">
        <w:rPr>
          <w:sz w:val="24"/>
          <w:szCs w:val="24"/>
        </w:rPr>
        <w:t xml:space="preserve">incorporates </w:t>
      </w:r>
      <w:r>
        <w:rPr>
          <w:sz w:val="24"/>
          <w:szCs w:val="24"/>
        </w:rPr>
        <w:t xml:space="preserve">an international perspective and, although the research is beneficial to our society, environmental injustices that rural communities have to </w:t>
      </w:r>
      <w:r w:rsidR="00AF2330">
        <w:rPr>
          <w:sz w:val="24"/>
          <w:szCs w:val="24"/>
        </w:rPr>
        <w:t>endure in</w:t>
      </w:r>
      <w:r>
        <w:rPr>
          <w:sz w:val="24"/>
          <w:szCs w:val="24"/>
        </w:rPr>
        <w:t xml:space="preserve"> California’s Central Valley are left unknown</w:t>
      </w:r>
      <w:r w:rsidR="00BC3948">
        <w:rPr>
          <w:sz w:val="24"/>
          <w:szCs w:val="24"/>
        </w:rPr>
        <w:t>.</w:t>
      </w:r>
      <w:r>
        <w:rPr>
          <w:sz w:val="24"/>
          <w:szCs w:val="24"/>
        </w:rPr>
        <w:t xml:space="preserve"> Much of the previous research was conducted in already impoverished </w:t>
      </w:r>
      <w:r w:rsidR="00AF2330">
        <w:rPr>
          <w:sz w:val="24"/>
          <w:szCs w:val="24"/>
        </w:rPr>
        <w:t>communities</w:t>
      </w:r>
      <w:r w:rsidR="00A410F3">
        <w:rPr>
          <w:sz w:val="24"/>
          <w:szCs w:val="24"/>
        </w:rPr>
        <w:t xml:space="preserve"> however </w:t>
      </w:r>
      <w:r>
        <w:rPr>
          <w:sz w:val="24"/>
          <w:szCs w:val="24"/>
        </w:rPr>
        <w:t xml:space="preserve">there was no comparison </w:t>
      </w:r>
      <w:r w:rsidR="00A410F3">
        <w:rPr>
          <w:sz w:val="24"/>
          <w:szCs w:val="24"/>
        </w:rPr>
        <w:t xml:space="preserve">of </w:t>
      </w:r>
      <w:r w:rsidR="00AF2330">
        <w:rPr>
          <w:sz w:val="24"/>
          <w:szCs w:val="24"/>
        </w:rPr>
        <w:t>these results with</w:t>
      </w:r>
      <w:r>
        <w:rPr>
          <w:sz w:val="24"/>
          <w:szCs w:val="24"/>
        </w:rPr>
        <w:t xml:space="preserve"> communities from different socioeconomic classes. Previous research also failed to state any advantages that the placement of hazardous industries can have on the communities</w:t>
      </w:r>
      <w:r w:rsidR="00A410F3">
        <w:rPr>
          <w:sz w:val="24"/>
          <w:szCs w:val="24"/>
        </w:rPr>
        <w:t>.</w:t>
      </w:r>
      <w:r w:rsidR="009235A9">
        <w:rPr>
          <w:sz w:val="24"/>
          <w:szCs w:val="24"/>
        </w:rPr>
        <w:t xml:space="preserve"> </w:t>
      </w:r>
      <w:r w:rsidR="00A410F3">
        <w:rPr>
          <w:sz w:val="24"/>
          <w:szCs w:val="24"/>
        </w:rPr>
        <w:t xml:space="preserve">For example, </w:t>
      </w:r>
      <w:r w:rsidR="007D1423">
        <w:rPr>
          <w:sz w:val="24"/>
          <w:szCs w:val="24"/>
        </w:rPr>
        <w:t>Payne (1997)</w:t>
      </w:r>
      <w:r w:rsidR="00D56927">
        <w:rPr>
          <w:sz w:val="24"/>
          <w:szCs w:val="24"/>
        </w:rPr>
        <w:t>,</w:t>
      </w:r>
      <w:r>
        <w:rPr>
          <w:sz w:val="24"/>
          <w:szCs w:val="24"/>
        </w:rPr>
        <w:t xml:space="preserve"> states that the placement of hazardous </w:t>
      </w:r>
      <w:r>
        <w:rPr>
          <w:sz w:val="24"/>
          <w:szCs w:val="24"/>
        </w:rPr>
        <w:lastRenderedPageBreak/>
        <w:t>industries provides residents with employment and educational attainment opportunities, thus outweighing the environmental harm these industries cause</w:t>
      </w:r>
      <w:r w:rsidR="00D56927">
        <w:rPr>
          <w:sz w:val="24"/>
          <w:szCs w:val="24"/>
        </w:rPr>
        <w:t>.</w:t>
      </w:r>
    </w:p>
    <w:p w:rsidR="007D06DF" w:rsidRPr="007D1423" w:rsidRDefault="007D1423" w:rsidP="007D1423">
      <w:pPr>
        <w:spacing w:line="480" w:lineRule="auto"/>
        <w:jc w:val="center"/>
        <w:rPr>
          <w:sz w:val="24"/>
          <w:szCs w:val="24"/>
          <w:u w:val="single"/>
        </w:rPr>
      </w:pPr>
      <w:r w:rsidRPr="007D1423">
        <w:rPr>
          <w:sz w:val="24"/>
          <w:szCs w:val="24"/>
          <w:u w:val="single"/>
        </w:rPr>
        <w:t>Methodology</w:t>
      </w:r>
    </w:p>
    <w:p w:rsidR="00173608" w:rsidRDefault="007D06DF" w:rsidP="00F20B0C">
      <w:pPr>
        <w:spacing w:line="480" w:lineRule="auto"/>
        <w:rPr>
          <w:sz w:val="24"/>
          <w:szCs w:val="24"/>
        </w:rPr>
      </w:pPr>
      <w:r w:rsidRPr="00CA7B56">
        <w:rPr>
          <w:i/>
          <w:sz w:val="24"/>
          <w:szCs w:val="24"/>
        </w:rPr>
        <w:tab/>
      </w:r>
      <w:r w:rsidRPr="00CA7B56">
        <w:rPr>
          <w:sz w:val="24"/>
          <w:szCs w:val="24"/>
        </w:rPr>
        <w:t>The researcher conducted an exploratory secondary r</w:t>
      </w:r>
      <w:r w:rsidR="00DD141F">
        <w:rPr>
          <w:sz w:val="24"/>
          <w:szCs w:val="24"/>
        </w:rPr>
        <w:t>esearch study by comparing</w:t>
      </w:r>
      <w:r w:rsidRPr="00CA7B56">
        <w:rPr>
          <w:sz w:val="24"/>
          <w:szCs w:val="24"/>
        </w:rPr>
        <w:t xml:space="preserve"> publicly available data sets from the </w:t>
      </w:r>
      <w:r w:rsidR="007A33CA" w:rsidRPr="000F20BD">
        <w:rPr>
          <w:sz w:val="24"/>
          <w:szCs w:val="24"/>
        </w:rPr>
        <w:t>U.S. Census, the Center for Social Services Research at University of California, Berkeley, and the Department of Public Health</w:t>
      </w:r>
      <w:r w:rsidR="007A33CA">
        <w:rPr>
          <w:sz w:val="24"/>
          <w:szCs w:val="24"/>
        </w:rPr>
        <w:t>, administrative county data, The California Environmental Protection Agency, and the Center for Disease Control and Prevention Agency</w:t>
      </w:r>
      <w:r w:rsidR="007A33CA" w:rsidRPr="000F20BD">
        <w:rPr>
          <w:sz w:val="24"/>
          <w:szCs w:val="24"/>
        </w:rPr>
        <w:t xml:space="preserve">. </w:t>
      </w:r>
      <w:r w:rsidRPr="00CA7B56">
        <w:rPr>
          <w:sz w:val="24"/>
          <w:szCs w:val="24"/>
        </w:rPr>
        <w:t xml:space="preserve"> The researcher compared the public available data from the above-mentioned sources from 2007 to 2012 for Fresno County. </w:t>
      </w:r>
      <w:r w:rsidR="00F20B0C">
        <w:rPr>
          <w:sz w:val="24"/>
          <w:szCs w:val="24"/>
        </w:rPr>
        <w:t xml:space="preserve"> De-identified </w:t>
      </w:r>
      <w:r w:rsidR="00F20B0C" w:rsidRPr="00CA7B56">
        <w:rPr>
          <w:sz w:val="24"/>
          <w:szCs w:val="24"/>
        </w:rPr>
        <w:t xml:space="preserve">county administrative data of children and families who have been referred for child maltreatment, specifically child neglect allegations, </w:t>
      </w:r>
      <w:r w:rsidR="00F20B0C">
        <w:rPr>
          <w:sz w:val="24"/>
          <w:szCs w:val="24"/>
        </w:rPr>
        <w:t xml:space="preserve">was also </w:t>
      </w:r>
      <w:r w:rsidR="00F20B0C" w:rsidRPr="00CA7B56">
        <w:rPr>
          <w:sz w:val="24"/>
          <w:szCs w:val="24"/>
        </w:rPr>
        <w:t>utilized for this research st</w:t>
      </w:r>
      <w:r w:rsidR="00DD141F">
        <w:rPr>
          <w:sz w:val="24"/>
          <w:szCs w:val="24"/>
        </w:rPr>
        <w:t>udy.</w:t>
      </w:r>
      <w:r w:rsidR="00F20B0C" w:rsidRPr="00CA7B56">
        <w:rPr>
          <w:sz w:val="24"/>
          <w:szCs w:val="24"/>
        </w:rPr>
        <w:t xml:space="preserve"> </w:t>
      </w:r>
      <w:r w:rsidR="00BE328C">
        <w:rPr>
          <w:sz w:val="24"/>
          <w:szCs w:val="24"/>
        </w:rPr>
        <w:t>Furthermore, t</w:t>
      </w:r>
      <w:r w:rsidRPr="00CA7B56">
        <w:rPr>
          <w:sz w:val="24"/>
          <w:szCs w:val="24"/>
        </w:rPr>
        <w:t>he researcher uti</w:t>
      </w:r>
      <w:r w:rsidR="00DD141F">
        <w:rPr>
          <w:sz w:val="24"/>
          <w:szCs w:val="24"/>
        </w:rPr>
        <w:t>lized four sets of zip codes in</w:t>
      </w:r>
      <w:r w:rsidRPr="00CA7B56">
        <w:rPr>
          <w:sz w:val="24"/>
          <w:szCs w:val="24"/>
        </w:rPr>
        <w:t xml:space="preserve"> </w:t>
      </w:r>
      <w:r>
        <w:rPr>
          <w:sz w:val="24"/>
          <w:szCs w:val="24"/>
        </w:rPr>
        <w:t>Fresno County</w:t>
      </w:r>
      <w:r w:rsidR="00DD141F">
        <w:rPr>
          <w:sz w:val="24"/>
          <w:szCs w:val="24"/>
        </w:rPr>
        <w:t xml:space="preserve"> from different socioeconomic classes; </w:t>
      </w:r>
      <w:r w:rsidR="007A6581">
        <w:rPr>
          <w:sz w:val="24"/>
          <w:szCs w:val="24"/>
        </w:rPr>
        <w:t>z</w:t>
      </w:r>
      <w:r w:rsidR="006A3FB2">
        <w:rPr>
          <w:sz w:val="24"/>
          <w:szCs w:val="24"/>
        </w:rPr>
        <w:t xml:space="preserve">ip codes 93702 and 93706 are lower socioeconomic communities and zip codes </w:t>
      </w:r>
      <w:r w:rsidR="006A3FB2" w:rsidRPr="00026CD9">
        <w:rPr>
          <w:sz w:val="24"/>
          <w:szCs w:val="24"/>
        </w:rPr>
        <w:t xml:space="preserve">93611 and </w:t>
      </w:r>
      <w:r w:rsidR="00E105A1" w:rsidRPr="00026CD9">
        <w:rPr>
          <w:sz w:val="24"/>
          <w:szCs w:val="24"/>
        </w:rPr>
        <w:t>93720</w:t>
      </w:r>
      <w:r w:rsidR="00E105A1">
        <w:rPr>
          <w:sz w:val="24"/>
          <w:szCs w:val="24"/>
        </w:rPr>
        <w:t xml:space="preserve"> </w:t>
      </w:r>
      <w:r w:rsidR="006A3FB2">
        <w:rPr>
          <w:sz w:val="24"/>
          <w:szCs w:val="24"/>
        </w:rPr>
        <w:t xml:space="preserve">are more affluent communities. </w:t>
      </w:r>
      <w:r w:rsidRPr="00CA7B56">
        <w:rPr>
          <w:sz w:val="24"/>
          <w:szCs w:val="24"/>
        </w:rPr>
        <w:t xml:space="preserve">The purpose of the four sets of zip codes </w:t>
      </w:r>
      <w:r w:rsidR="006A3FB2">
        <w:rPr>
          <w:sz w:val="24"/>
          <w:szCs w:val="24"/>
        </w:rPr>
        <w:t xml:space="preserve">was </w:t>
      </w:r>
      <w:r w:rsidRPr="00CA7B56">
        <w:rPr>
          <w:sz w:val="24"/>
          <w:szCs w:val="24"/>
        </w:rPr>
        <w:t>to compare</w:t>
      </w:r>
      <w:r w:rsidR="006A3FB2">
        <w:rPr>
          <w:sz w:val="24"/>
          <w:szCs w:val="24"/>
        </w:rPr>
        <w:t xml:space="preserve"> poorer communities against more affluent communities using these indicators: </w:t>
      </w:r>
      <w:r w:rsidRPr="00CA7B56">
        <w:rPr>
          <w:sz w:val="24"/>
          <w:szCs w:val="24"/>
        </w:rPr>
        <w:t xml:space="preserve">the number of child neglect allegations, the number of children with chronic illnesses, and </w:t>
      </w:r>
      <w:r>
        <w:rPr>
          <w:sz w:val="24"/>
          <w:szCs w:val="24"/>
        </w:rPr>
        <w:t>air and water quality</w:t>
      </w:r>
      <w:r w:rsidR="00E105A1">
        <w:rPr>
          <w:sz w:val="24"/>
          <w:szCs w:val="24"/>
        </w:rPr>
        <w:t xml:space="preserve"> </w:t>
      </w:r>
      <w:r w:rsidR="006A3FB2">
        <w:rPr>
          <w:sz w:val="24"/>
          <w:szCs w:val="24"/>
        </w:rPr>
        <w:t>measures</w:t>
      </w:r>
      <w:r w:rsidRPr="00CA7B56">
        <w:rPr>
          <w:sz w:val="24"/>
          <w:szCs w:val="24"/>
        </w:rPr>
        <w:t>. For Fresno County, the researcher utilized zip code 93706 versus 93</w:t>
      </w:r>
      <w:r w:rsidR="00E105A1">
        <w:rPr>
          <w:sz w:val="24"/>
          <w:szCs w:val="24"/>
        </w:rPr>
        <w:t>720</w:t>
      </w:r>
      <w:r w:rsidRPr="00CA7B56">
        <w:rPr>
          <w:sz w:val="24"/>
          <w:szCs w:val="24"/>
        </w:rPr>
        <w:t xml:space="preserve"> and zip code 93702 versus 93611.</w:t>
      </w:r>
    </w:p>
    <w:p w:rsidR="006B5F5A" w:rsidRDefault="007D06DF" w:rsidP="006B5F5A">
      <w:pPr>
        <w:spacing w:line="480" w:lineRule="auto"/>
        <w:rPr>
          <w:i/>
          <w:sz w:val="24"/>
          <w:szCs w:val="24"/>
        </w:rPr>
      </w:pPr>
      <w:r w:rsidRPr="00CA7B56">
        <w:rPr>
          <w:sz w:val="24"/>
          <w:szCs w:val="24"/>
        </w:rPr>
        <w:t xml:space="preserve"> </w:t>
      </w:r>
      <w:r w:rsidR="00F20B0C" w:rsidRPr="00CA7B56">
        <w:rPr>
          <w:sz w:val="24"/>
          <w:szCs w:val="24"/>
        </w:rPr>
        <w:tab/>
        <w:t xml:space="preserve">Abundant research has been conducted on the detrimental effects environmental injustice has on residents residing in communities where the establishment of hazardous industries is prevalent. Very little research, however, has been conducted on whether one’s environment plays a role in child neglect allegations. This research study will, therefore, attempt to determine if </w:t>
      </w:r>
      <w:r w:rsidR="00F20B0C" w:rsidRPr="00CA7B56">
        <w:rPr>
          <w:sz w:val="24"/>
          <w:szCs w:val="24"/>
        </w:rPr>
        <w:lastRenderedPageBreak/>
        <w:t xml:space="preserve">environmental injustice might </w:t>
      </w:r>
      <w:r w:rsidR="00F20B0C">
        <w:rPr>
          <w:sz w:val="24"/>
          <w:szCs w:val="24"/>
        </w:rPr>
        <w:t xml:space="preserve">possibly </w:t>
      </w:r>
      <w:r w:rsidR="00F20B0C" w:rsidRPr="00CA7B56">
        <w:rPr>
          <w:sz w:val="24"/>
          <w:szCs w:val="24"/>
        </w:rPr>
        <w:t xml:space="preserve">affect </w:t>
      </w:r>
      <w:r w:rsidR="00F20B0C">
        <w:rPr>
          <w:sz w:val="24"/>
          <w:szCs w:val="24"/>
        </w:rPr>
        <w:t>allegations of child maltreatme</w:t>
      </w:r>
      <w:r w:rsidR="00DB7A2C">
        <w:rPr>
          <w:sz w:val="24"/>
          <w:szCs w:val="24"/>
        </w:rPr>
        <w:t>nt in the form of child neglect</w:t>
      </w:r>
      <w:r w:rsidR="00F20B0C" w:rsidRPr="00CA7B56">
        <w:rPr>
          <w:sz w:val="24"/>
          <w:szCs w:val="24"/>
        </w:rPr>
        <w:t xml:space="preserve"> in California’s Central Valle</w:t>
      </w:r>
      <w:r w:rsidR="006B5F5A">
        <w:rPr>
          <w:sz w:val="24"/>
          <w:szCs w:val="24"/>
        </w:rPr>
        <w:t>y.</w:t>
      </w:r>
    </w:p>
    <w:p w:rsidR="007D1423" w:rsidRPr="006B5F5A" w:rsidRDefault="007D1423" w:rsidP="006B5F5A">
      <w:pPr>
        <w:spacing w:line="480" w:lineRule="auto"/>
        <w:jc w:val="center"/>
        <w:rPr>
          <w:i/>
          <w:sz w:val="24"/>
          <w:szCs w:val="24"/>
        </w:rPr>
      </w:pPr>
      <w:r w:rsidRPr="007D1423">
        <w:rPr>
          <w:sz w:val="24"/>
          <w:szCs w:val="24"/>
          <w:u w:val="single"/>
        </w:rPr>
        <w:t>Results</w:t>
      </w:r>
    </w:p>
    <w:p w:rsidR="007D06DF" w:rsidRPr="000F20BD" w:rsidRDefault="007D06DF" w:rsidP="007D1423">
      <w:pPr>
        <w:spacing w:line="480" w:lineRule="auto"/>
        <w:ind w:firstLine="720"/>
        <w:rPr>
          <w:sz w:val="24"/>
          <w:szCs w:val="24"/>
        </w:rPr>
      </w:pPr>
      <w:r w:rsidRPr="000F20BD">
        <w:rPr>
          <w:sz w:val="24"/>
          <w:szCs w:val="24"/>
        </w:rPr>
        <w:t xml:space="preserve">The researcher </w:t>
      </w:r>
      <w:r w:rsidR="00F20B0C">
        <w:rPr>
          <w:sz w:val="24"/>
          <w:szCs w:val="24"/>
        </w:rPr>
        <w:t>used</w:t>
      </w:r>
      <w:r w:rsidRPr="000F20BD">
        <w:rPr>
          <w:sz w:val="24"/>
          <w:szCs w:val="24"/>
        </w:rPr>
        <w:t xml:space="preserve"> descriptive analysis comparing and contrasting the statistics gathered from the U.S. Census, the Center for Social Services Research at University of California, Berkeley, and the Department of Public Health</w:t>
      </w:r>
      <w:r>
        <w:rPr>
          <w:sz w:val="24"/>
          <w:szCs w:val="24"/>
        </w:rPr>
        <w:t>, administrative county data, The California Environmental Protection Agency, and the Center for Disease Control and Prevention Agency</w:t>
      </w:r>
      <w:r w:rsidRPr="000F20BD">
        <w:rPr>
          <w:sz w:val="24"/>
          <w:szCs w:val="24"/>
        </w:rPr>
        <w:t xml:space="preserve">. </w:t>
      </w:r>
    </w:p>
    <w:p w:rsidR="00A40FB6" w:rsidRDefault="007D06DF" w:rsidP="00A40FB6">
      <w:pPr>
        <w:spacing w:line="480" w:lineRule="auto"/>
        <w:rPr>
          <w:i/>
          <w:sz w:val="24"/>
          <w:szCs w:val="24"/>
        </w:rPr>
      </w:pPr>
      <w:r w:rsidRPr="00674508">
        <w:rPr>
          <w:i/>
          <w:sz w:val="24"/>
          <w:szCs w:val="24"/>
        </w:rPr>
        <w:t>Poverty</w:t>
      </w:r>
      <w:r w:rsidRPr="00594A4B">
        <w:rPr>
          <w:i/>
          <w:sz w:val="24"/>
          <w:szCs w:val="24"/>
        </w:rPr>
        <w:t xml:space="preserve"> </w:t>
      </w:r>
    </w:p>
    <w:p w:rsidR="007D06DF" w:rsidRPr="009B2A5E" w:rsidRDefault="007D06DF" w:rsidP="00A40FB6">
      <w:pPr>
        <w:spacing w:line="480" w:lineRule="auto"/>
        <w:rPr>
          <w:sz w:val="24"/>
          <w:szCs w:val="24"/>
          <w:highlight w:val="yellow"/>
        </w:rPr>
      </w:pPr>
      <w:r>
        <w:rPr>
          <w:sz w:val="24"/>
          <w:szCs w:val="24"/>
        </w:rPr>
        <w:tab/>
        <w:t>The researcher gathered poverty rates, specifically for Fresno County zip code 93706, 93702, 93711, and 93720 from the U</w:t>
      </w:r>
      <w:r w:rsidR="00BC568F">
        <w:rPr>
          <w:sz w:val="24"/>
          <w:szCs w:val="24"/>
        </w:rPr>
        <w:t>.</w:t>
      </w:r>
      <w:r>
        <w:rPr>
          <w:sz w:val="24"/>
          <w:szCs w:val="24"/>
        </w:rPr>
        <w:t>S</w:t>
      </w:r>
      <w:r w:rsidR="00BC568F">
        <w:rPr>
          <w:sz w:val="24"/>
          <w:szCs w:val="24"/>
        </w:rPr>
        <w:t>.</w:t>
      </w:r>
      <w:r>
        <w:rPr>
          <w:sz w:val="24"/>
          <w:szCs w:val="24"/>
        </w:rPr>
        <w:t xml:space="preserve"> Census</w:t>
      </w:r>
      <w:r w:rsidR="003D3B45">
        <w:rPr>
          <w:sz w:val="24"/>
          <w:szCs w:val="24"/>
        </w:rPr>
        <w:t>.</w:t>
      </w:r>
      <w:r w:rsidRPr="00076450">
        <w:rPr>
          <w:sz w:val="24"/>
          <w:szCs w:val="24"/>
        </w:rPr>
        <w:t xml:space="preserve"> One’s socioeconomic class may have an impact in the resources available for individuals residing in impoverished communities to deal with poor environmental conditions, thus possibly increasing the life stressors of parents who reside in communities with high poverty levels. Increased life stressors and higher poverty, in turn, can possibly lead to increased child maltreatment allegations in these impoverished communities, especially in the area of child neglect allegations. </w:t>
      </w:r>
      <w:r w:rsidR="00BC568F">
        <w:rPr>
          <w:sz w:val="24"/>
          <w:szCs w:val="24"/>
        </w:rPr>
        <w:t>This is because p</w:t>
      </w:r>
      <w:r w:rsidRPr="00076450">
        <w:rPr>
          <w:sz w:val="24"/>
          <w:szCs w:val="24"/>
        </w:rPr>
        <w:t>arents with little resources often do not have an ability to seek treatment for their children for medical conditions such as asthma</w:t>
      </w:r>
      <w:r>
        <w:rPr>
          <w:sz w:val="24"/>
          <w:szCs w:val="24"/>
        </w:rPr>
        <w:t xml:space="preserve"> and other</w:t>
      </w:r>
      <w:r w:rsidRPr="00076450">
        <w:rPr>
          <w:sz w:val="24"/>
          <w:szCs w:val="24"/>
        </w:rPr>
        <w:t xml:space="preserve"> health conditions cause by poor air or water</w:t>
      </w:r>
      <w:r w:rsidR="005D0BB6">
        <w:rPr>
          <w:sz w:val="24"/>
          <w:szCs w:val="24"/>
        </w:rPr>
        <w:t xml:space="preserve"> quality</w:t>
      </w:r>
      <w:r w:rsidRPr="00076450">
        <w:rPr>
          <w:sz w:val="24"/>
          <w:szCs w:val="24"/>
        </w:rPr>
        <w:t>. Their inability to seek appropriate timely treatment for their children may be construed as neglect by som</w:t>
      </w:r>
      <w:r>
        <w:rPr>
          <w:sz w:val="24"/>
          <w:szCs w:val="24"/>
        </w:rPr>
        <w:t xml:space="preserve">e authorities in a community.  </w:t>
      </w:r>
      <w:r w:rsidRPr="00076450">
        <w:rPr>
          <w:sz w:val="24"/>
          <w:szCs w:val="24"/>
        </w:rPr>
        <w:t xml:space="preserve">The following tables will illustrate the poverty levels and child maltreatment allegations for four Fresno County zip codes from communities of different socioeconomic class. The researcher compared four zip codes in Fresno County that represent West Fresno, South Fresno, Clovis, and North Fresno. </w:t>
      </w:r>
    </w:p>
    <w:p w:rsidR="007D1423" w:rsidRDefault="007D06DF" w:rsidP="007D06DF">
      <w:pPr>
        <w:spacing w:line="480" w:lineRule="auto"/>
        <w:rPr>
          <w:sz w:val="24"/>
          <w:szCs w:val="24"/>
        </w:rPr>
      </w:pPr>
      <w:r w:rsidRPr="00D7705B">
        <w:rPr>
          <w:sz w:val="24"/>
          <w:szCs w:val="24"/>
        </w:rPr>
        <w:lastRenderedPageBreak/>
        <w:t>Table 1 represents the percentage of individuals who live below the poverty level for four zip codes in Fresno County in 2010</w:t>
      </w:r>
      <w:r>
        <w:rPr>
          <w:sz w:val="24"/>
          <w:szCs w:val="24"/>
        </w:rPr>
        <w:t>.</w:t>
      </w:r>
    </w:p>
    <w:tbl>
      <w:tblPr>
        <w:tblpPr w:leftFromText="180" w:rightFromText="180" w:vertAnchor="page" w:horzAnchor="margin" w:tblpY="2687"/>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902"/>
        <w:gridCol w:w="1902"/>
        <w:gridCol w:w="1618"/>
        <w:gridCol w:w="1715"/>
      </w:tblGrid>
      <w:tr w:rsidR="007D1423" w:rsidRPr="00D7705B" w:rsidTr="00C65D5E">
        <w:trPr>
          <w:trHeight w:val="730"/>
        </w:trPr>
        <w:tc>
          <w:tcPr>
            <w:tcW w:w="10011" w:type="dxa"/>
            <w:gridSpan w:val="5"/>
            <w:tcBorders>
              <w:top w:val="nil"/>
              <w:left w:val="nil"/>
              <w:bottom w:val="single" w:sz="4" w:space="0" w:color="auto"/>
              <w:right w:val="nil"/>
            </w:tcBorders>
          </w:tcPr>
          <w:p w:rsidR="007D1423" w:rsidRPr="00D7705B" w:rsidRDefault="007D1423" w:rsidP="00C65D5E">
            <w:pPr>
              <w:spacing w:before="160" w:after="160"/>
              <w:rPr>
                <w:b/>
                <w:sz w:val="24"/>
                <w:szCs w:val="24"/>
              </w:rPr>
            </w:pPr>
            <w:r w:rsidRPr="00D7705B">
              <w:rPr>
                <w:b/>
                <w:sz w:val="24"/>
                <w:szCs w:val="24"/>
              </w:rPr>
              <w:t>Table 1</w:t>
            </w:r>
          </w:p>
          <w:p w:rsidR="007D1423" w:rsidRPr="00D7705B" w:rsidRDefault="007D1423" w:rsidP="00C65D5E">
            <w:pPr>
              <w:spacing w:before="160" w:after="160"/>
              <w:rPr>
                <w:b/>
                <w:sz w:val="24"/>
                <w:szCs w:val="24"/>
              </w:rPr>
            </w:pPr>
            <w:r w:rsidRPr="00D7705B">
              <w:rPr>
                <w:b/>
                <w:sz w:val="24"/>
                <w:szCs w:val="24"/>
              </w:rPr>
              <w:t>Percent Below Poverty Level for Zip Codes in Fresno County</w:t>
            </w:r>
          </w:p>
        </w:tc>
      </w:tr>
      <w:tr w:rsidR="007D1423" w:rsidRPr="00D7705B" w:rsidTr="00C65D5E">
        <w:trPr>
          <w:trHeight w:val="527"/>
        </w:trPr>
        <w:tc>
          <w:tcPr>
            <w:tcW w:w="2874" w:type="dxa"/>
            <w:tcBorders>
              <w:top w:val="single" w:sz="4" w:space="0" w:color="auto"/>
              <w:left w:val="nil"/>
              <w:bottom w:val="single" w:sz="4" w:space="0" w:color="auto"/>
              <w:right w:val="nil"/>
            </w:tcBorders>
          </w:tcPr>
          <w:p w:rsidR="007D1423" w:rsidRPr="00D7705B" w:rsidRDefault="007D1423" w:rsidP="00C65D5E">
            <w:pPr>
              <w:spacing w:before="160" w:after="160"/>
              <w:rPr>
                <w:b/>
                <w:sz w:val="24"/>
                <w:szCs w:val="24"/>
              </w:rPr>
            </w:pPr>
          </w:p>
        </w:tc>
        <w:tc>
          <w:tcPr>
            <w:tcW w:w="1902" w:type="dxa"/>
            <w:tcBorders>
              <w:top w:val="single" w:sz="4" w:space="0" w:color="auto"/>
              <w:left w:val="nil"/>
              <w:bottom w:val="single" w:sz="4" w:space="0" w:color="auto"/>
              <w:right w:val="nil"/>
            </w:tcBorders>
          </w:tcPr>
          <w:p w:rsidR="007D1423" w:rsidRPr="00D7705B" w:rsidRDefault="007D1423" w:rsidP="00C65D5E">
            <w:pPr>
              <w:jc w:val="center"/>
              <w:rPr>
                <w:b/>
                <w:sz w:val="24"/>
                <w:szCs w:val="24"/>
              </w:rPr>
            </w:pPr>
          </w:p>
          <w:p w:rsidR="007D1423" w:rsidRPr="00D7705B" w:rsidRDefault="007D1423" w:rsidP="00C65D5E">
            <w:pPr>
              <w:jc w:val="center"/>
              <w:rPr>
                <w:b/>
                <w:sz w:val="24"/>
                <w:szCs w:val="24"/>
              </w:rPr>
            </w:pPr>
            <w:r w:rsidRPr="00D7705B">
              <w:rPr>
                <w:b/>
                <w:sz w:val="24"/>
                <w:szCs w:val="24"/>
              </w:rPr>
              <w:t>93706</w:t>
            </w:r>
          </w:p>
          <w:p w:rsidR="007D1423" w:rsidRPr="00D7705B" w:rsidRDefault="007D1423" w:rsidP="00C65D5E">
            <w:pPr>
              <w:jc w:val="center"/>
              <w:rPr>
                <w:b/>
                <w:sz w:val="24"/>
                <w:szCs w:val="24"/>
              </w:rPr>
            </w:pPr>
            <w:r w:rsidRPr="00D7705B">
              <w:rPr>
                <w:b/>
                <w:sz w:val="24"/>
                <w:szCs w:val="24"/>
              </w:rPr>
              <w:t>(%)</w:t>
            </w:r>
          </w:p>
        </w:tc>
        <w:tc>
          <w:tcPr>
            <w:tcW w:w="1902" w:type="dxa"/>
            <w:tcBorders>
              <w:top w:val="single" w:sz="4" w:space="0" w:color="auto"/>
              <w:left w:val="nil"/>
              <w:bottom w:val="single" w:sz="4" w:space="0" w:color="auto"/>
              <w:right w:val="nil"/>
            </w:tcBorders>
          </w:tcPr>
          <w:p w:rsidR="007D1423" w:rsidRPr="00D7705B" w:rsidRDefault="007D1423" w:rsidP="00C65D5E">
            <w:pPr>
              <w:jc w:val="center"/>
              <w:rPr>
                <w:b/>
                <w:sz w:val="24"/>
                <w:szCs w:val="24"/>
              </w:rPr>
            </w:pPr>
          </w:p>
          <w:p w:rsidR="007D1423" w:rsidRPr="00D7705B" w:rsidRDefault="007D1423" w:rsidP="00C65D5E">
            <w:pPr>
              <w:jc w:val="center"/>
              <w:rPr>
                <w:b/>
                <w:sz w:val="24"/>
                <w:szCs w:val="24"/>
              </w:rPr>
            </w:pPr>
            <w:r w:rsidRPr="00D7705B">
              <w:rPr>
                <w:b/>
                <w:sz w:val="24"/>
                <w:szCs w:val="24"/>
              </w:rPr>
              <w:t>93702</w:t>
            </w:r>
          </w:p>
          <w:p w:rsidR="007D1423" w:rsidRPr="00D7705B" w:rsidRDefault="007D1423" w:rsidP="00C65D5E">
            <w:pPr>
              <w:jc w:val="center"/>
              <w:rPr>
                <w:b/>
                <w:sz w:val="24"/>
                <w:szCs w:val="24"/>
              </w:rPr>
            </w:pPr>
            <w:r w:rsidRPr="00D7705B">
              <w:rPr>
                <w:b/>
                <w:sz w:val="24"/>
                <w:szCs w:val="24"/>
              </w:rPr>
              <w:t>(%)</w:t>
            </w:r>
          </w:p>
        </w:tc>
        <w:tc>
          <w:tcPr>
            <w:tcW w:w="1618" w:type="dxa"/>
            <w:tcBorders>
              <w:top w:val="single" w:sz="4" w:space="0" w:color="auto"/>
              <w:left w:val="nil"/>
              <w:bottom w:val="single" w:sz="4" w:space="0" w:color="auto"/>
              <w:right w:val="nil"/>
            </w:tcBorders>
          </w:tcPr>
          <w:p w:rsidR="007D1423" w:rsidRPr="00D7705B" w:rsidRDefault="007D1423" w:rsidP="00C65D5E">
            <w:pPr>
              <w:jc w:val="center"/>
              <w:rPr>
                <w:b/>
                <w:sz w:val="24"/>
                <w:szCs w:val="24"/>
              </w:rPr>
            </w:pPr>
          </w:p>
          <w:p w:rsidR="007D1423" w:rsidRPr="00D7705B" w:rsidRDefault="007D1423" w:rsidP="00C65D5E">
            <w:pPr>
              <w:jc w:val="center"/>
              <w:rPr>
                <w:b/>
                <w:sz w:val="24"/>
                <w:szCs w:val="24"/>
              </w:rPr>
            </w:pPr>
            <w:r w:rsidRPr="00D7705B">
              <w:rPr>
                <w:b/>
                <w:sz w:val="24"/>
                <w:szCs w:val="24"/>
              </w:rPr>
              <w:t>93611</w:t>
            </w:r>
          </w:p>
          <w:p w:rsidR="007D1423" w:rsidRPr="00D7705B" w:rsidRDefault="007D1423" w:rsidP="00C65D5E">
            <w:pPr>
              <w:jc w:val="center"/>
              <w:rPr>
                <w:b/>
                <w:sz w:val="24"/>
                <w:szCs w:val="24"/>
              </w:rPr>
            </w:pPr>
            <w:r w:rsidRPr="00D7705B">
              <w:rPr>
                <w:b/>
                <w:sz w:val="24"/>
                <w:szCs w:val="24"/>
              </w:rPr>
              <w:t>(%)</w:t>
            </w:r>
          </w:p>
        </w:tc>
        <w:tc>
          <w:tcPr>
            <w:tcW w:w="1715" w:type="dxa"/>
            <w:tcBorders>
              <w:top w:val="single" w:sz="4" w:space="0" w:color="auto"/>
              <w:left w:val="nil"/>
              <w:bottom w:val="single" w:sz="4" w:space="0" w:color="auto"/>
              <w:right w:val="nil"/>
            </w:tcBorders>
          </w:tcPr>
          <w:p w:rsidR="007D1423" w:rsidRPr="00D7705B" w:rsidRDefault="007D1423" w:rsidP="00C65D5E">
            <w:pPr>
              <w:jc w:val="center"/>
              <w:rPr>
                <w:b/>
                <w:sz w:val="24"/>
                <w:szCs w:val="24"/>
              </w:rPr>
            </w:pPr>
          </w:p>
          <w:p w:rsidR="007D1423" w:rsidRPr="00D7705B" w:rsidRDefault="007D1423" w:rsidP="00C65D5E">
            <w:pPr>
              <w:jc w:val="center"/>
              <w:rPr>
                <w:b/>
                <w:sz w:val="24"/>
                <w:szCs w:val="24"/>
              </w:rPr>
            </w:pPr>
            <w:r w:rsidRPr="00D7705B">
              <w:rPr>
                <w:b/>
                <w:sz w:val="24"/>
                <w:szCs w:val="24"/>
              </w:rPr>
              <w:t>93720</w:t>
            </w:r>
          </w:p>
          <w:p w:rsidR="007D1423" w:rsidRPr="00D7705B" w:rsidRDefault="007D1423" w:rsidP="00C65D5E">
            <w:pPr>
              <w:jc w:val="center"/>
              <w:rPr>
                <w:b/>
                <w:sz w:val="24"/>
                <w:szCs w:val="24"/>
              </w:rPr>
            </w:pPr>
            <w:r w:rsidRPr="00D7705B">
              <w:rPr>
                <w:b/>
                <w:sz w:val="24"/>
                <w:szCs w:val="24"/>
              </w:rPr>
              <w:t>(%)</w:t>
            </w:r>
          </w:p>
        </w:tc>
      </w:tr>
      <w:tr w:rsidR="007D1423" w:rsidRPr="00D7705B" w:rsidTr="00C65D5E">
        <w:trPr>
          <w:trHeight w:val="674"/>
        </w:trPr>
        <w:tc>
          <w:tcPr>
            <w:tcW w:w="2874" w:type="dxa"/>
            <w:tcBorders>
              <w:top w:val="single" w:sz="4" w:space="0" w:color="auto"/>
              <w:left w:val="nil"/>
              <w:bottom w:val="nil"/>
              <w:right w:val="nil"/>
            </w:tcBorders>
            <w:vAlign w:val="center"/>
          </w:tcPr>
          <w:p w:rsidR="007D1423" w:rsidRPr="00D7705B" w:rsidRDefault="007D1423" w:rsidP="00C65D5E">
            <w:pPr>
              <w:spacing w:before="120" w:after="120"/>
              <w:rPr>
                <w:b/>
                <w:sz w:val="24"/>
                <w:szCs w:val="24"/>
              </w:rPr>
            </w:pPr>
            <w:r w:rsidRPr="00D7705B">
              <w:rPr>
                <w:b/>
                <w:sz w:val="24"/>
                <w:szCs w:val="24"/>
              </w:rPr>
              <w:t>Under 18</w:t>
            </w:r>
          </w:p>
        </w:tc>
        <w:tc>
          <w:tcPr>
            <w:tcW w:w="1902" w:type="dxa"/>
            <w:tcBorders>
              <w:top w:val="single" w:sz="4" w:space="0" w:color="auto"/>
              <w:left w:val="nil"/>
              <w:bottom w:val="nil"/>
              <w:right w:val="nil"/>
            </w:tcBorders>
            <w:vAlign w:val="center"/>
          </w:tcPr>
          <w:p w:rsidR="007D1423" w:rsidRPr="00D7705B" w:rsidRDefault="007D1423" w:rsidP="00C65D5E">
            <w:pPr>
              <w:jc w:val="center"/>
              <w:rPr>
                <w:sz w:val="24"/>
                <w:szCs w:val="24"/>
              </w:rPr>
            </w:pPr>
            <w:r w:rsidRPr="00D7705B">
              <w:rPr>
                <w:sz w:val="24"/>
                <w:szCs w:val="24"/>
              </w:rPr>
              <w:t>7,362</w:t>
            </w:r>
          </w:p>
          <w:p w:rsidR="007D1423" w:rsidRPr="00D7705B" w:rsidRDefault="007D1423" w:rsidP="00C65D5E">
            <w:pPr>
              <w:jc w:val="center"/>
              <w:rPr>
                <w:sz w:val="24"/>
                <w:szCs w:val="24"/>
              </w:rPr>
            </w:pPr>
            <w:r w:rsidRPr="00D7705B">
              <w:rPr>
                <w:sz w:val="24"/>
                <w:szCs w:val="24"/>
              </w:rPr>
              <w:t>(46.49)</w:t>
            </w:r>
          </w:p>
        </w:tc>
        <w:tc>
          <w:tcPr>
            <w:tcW w:w="1902" w:type="dxa"/>
            <w:tcBorders>
              <w:top w:val="single" w:sz="4" w:space="0" w:color="auto"/>
              <w:left w:val="nil"/>
              <w:bottom w:val="nil"/>
              <w:right w:val="nil"/>
            </w:tcBorders>
            <w:vAlign w:val="center"/>
          </w:tcPr>
          <w:p w:rsidR="007D1423" w:rsidRPr="00D7705B" w:rsidRDefault="007D1423" w:rsidP="00C65D5E">
            <w:pPr>
              <w:jc w:val="center"/>
              <w:rPr>
                <w:color w:val="000000"/>
                <w:sz w:val="24"/>
                <w:szCs w:val="24"/>
              </w:rPr>
            </w:pPr>
            <w:r w:rsidRPr="00D7705B">
              <w:rPr>
                <w:color w:val="000000"/>
                <w:sz w:val="24"/>
                <w:szCs w:val="24"/>
              </w:rPr>
              <w:t>10,010</w:t>
            </w:r>
          </w:p>
          <w:p w:rsidR="007D1423" w:rsidRPr="00D7705B" w:rsidRDefault="007D1423" w:rsidP="00C65D5E">
            <w:pPr>
              <w:jc w:val="center"/>
              <w:rPr>
                <w:sz w:val="24"/>
                <w:szCs w:val="24"/>
              </w:rPr>
            </w:pPr>
            <w:r w:rsidRPr="00D7705B">
              <w:rPr>
                <w:sz w:val="24"/>
                <w:szCs w:val="24"/>
              </w:rPr>
              <w:t>(47.25)</w:t>
            </w:r>
          </w:p>
        </w:tc>
        <w:tc>
          <w:tcPr>
            <w:tcW w:w="1618" w:type="dxa"/>
            <w:tcBorders>
              <w:top w:val="single" w:sz="4" w:space="0" w:color="auto"/>
              <w:left w:val="nil"/>
              <w:bottom w:val="nil"/>
              <w:right w:val="nil"/>
            </w:tcBorders>
            <w:vAlign w:val="center"/>
          </w:tcPr>
          <w:p w:rsidR="007D1423" w:rsidRPr="00D7705B" w:rsidRDefault="007D1423" w:rsidP="00C65D5E">
            <w:pPr>
              <w:jc w:val="center"/>
              <w:rPr>
                <w:color w:val="000000"/>
                <w:sz w:val="24"/>
                <w:szCs w:val="24"/>
              </w:rPr>
            </w:pPr>
            <w:r w:rsidRPr="00D7705B">
              <w:rPr>
                <w:color w:val="000000"/>
                <w:sz w:val="24"/>
                <w:szCs w:val="24"/>
              </w:rPr>
              <w:t>1,303</w:t>
            </w:r>
          </w:p>
          <w:p w:rsidR="007D1423" w:rsidRPr="00D7705B" w:rsidRDefault="007D1423" w:rsidP="00C65D5E">
            <w:pPr>
              <w:jc w:val="center"/>
              <w:rPr>
                <w:sz w:val="24"/>
                <w:szCs w:val="24"/>
              </w:rPr>
            </w:pPr>
            <w:r w:rsidRPr="00D7705B">
              <w:rPr>
                <w:sz w:val="24"/>
                <w:szCs w:val="24"/>
              </w:rPr>
              <w:t>(35.86)</w:t>
            </w:r>
          </w:p>
        </w:tc>
        <w:tc>
          <w:tcPr>
            <w:tcW w:w="1715" w:type="dxa"/>
            <w:tcBorders>
              <w:top w:val="single" w:sz="4" w:space="0" w:color="auto"/>
              <w:left w:val="nil"/>
              <w:bottom w:val="nil"/>
              <w:right w:val="nil"/>
            </w:tcBorders>
            <w:vAlign w:val="center"/>
          </w:tcPr>
          <w:p w:rsidR="007D1423" w:rsidRPr="00D7705B" w:rsidRDefault="007D1423" w:rsidP="00C65D5E">
            <w:pPr>
              <w:jc w:val="center"/>
              <w:rPr>
                <w:color w:val="000000"/>
                <w:sz w:val="24"/>
                <w:szCs w:val="24"/>
              </w:rPr>
            </w:pPr>
            <w:r w:rsidRPr="00D7705B">
              <w:rPr>
                <w:color w:val="000000"/>
                <w:sz w:val="24"/>
                <w:szCs w:val="24"/>
              </w:rPr>
              <w:t>949</w:t>
            </w:r>
          </w:p>
          <w:p w:rsidR="007D1423" w:rsidRPr="00D7705B" w:rsidRDefault="007D1423" w:rsidP="00C65D5E">
            <w:pPr>
              <w:jc w:val="center"/>
              <w:rPr>
                <w:sz w:val="24"/>
                <w:szCs w:val="24"/>
              </w:rPr>
            </w:pPr>
            <w:r w:rsidRPr="00D7705B">
              <w:rPr>
                <w:sz w:val="24"/>
                <w:szCs w:val="24"/>
              </w:rPr>
              <w:t>(26.51)</w:t>
            </w:r>
          </w:p>
        </w:tc>
      </w:tr>
      <w:tr w:rsidR="007D1423" w:rsidRPr="00D7705B" w:rsidTr="00C65D5E">
        <w:trPr>
          <w:trHeight w:val="601"/>
        </w:trPr>
        <w:tc>
          <w:tcPr>
            <w:tcW w:w="2874" w:type="dxa"/>
            <w:tcBorders>
              <w:top w:val="nil"/>
              <w:left w:val="nil"/>
              <w:bottom w:val="nil"/>
              <w:right w:val="nil"/>
            </w:tcBorders>
            <w:vAlign w:val="center"/>
          </w:tcPr>
          <w:p w:rsidR="007D1423" w:rsidRPr="00D7705B" w:rsidRDefault="007D1423" w:rsidP="00C65D5E">
            <w:pPr>
              <w:spacing w:before="120" w:after="120"/>
              <w:rPr>
                <w:b/>
                <w:sz w:val="24"/>
                <w:szCs w:val="24"/>
              </w:rPr>
            </w:pPr>
            <w:r w:rsidRPr="00D7705B">
              <w:rPr>
                <w:b/>
                <w:sz w:val="24"/>
                <w:szCs w:val="24"/>
              </w:rPr>
              <w:t>18 to 64</w:t>
            </w:r>
          </w:p>
        </w:tc>
        <w:tc>
          <w:tcPr>
            <w:tcW w:w="1902" w:type="dxa"/>
            <w:tcBorders>
              <w:top w:val="nil"/>
              <w:left w:val="nil"/>
              <w:bottom w:val="nil"/>
              <w:right w:val="nil"/>
            </w:tcBorders>
            <w:vAlign w:val="bottom"/>
          </w:tcPr>
          <w:p w:rsidR="007D1423" w:rsidRPr="00D7705B" w:rsidRDefault="007D1423" w:rsidP="00C65D5E">
            <w:pPr>
              <w:jc w:val="center"/>
              <w:rPr>
                <w:sz w:val="24"/>
                <w:szCs w:val="24"/>
              </w:rPr>
            </w:pPr>
            <w:r w:rsidRPr="00D7705B">
              <w:rPr>
                <w:sz w:val="24"/>
                <w:szCs w:val="24"/>
              </w:rPr>
              <w:t>7,787</w:t>
            </w:r>
          </w:p>
          <w:p w:rsidR="007D1423" w:rsidRPr="00D7705B" w:rsidRDefault="007D1423" w:rsidP="00C65D5E">
            <w:pPr>
              <w:jc w:val="center"/>
              <w:rPr>
                <w:sz w:val="24"/>
                <w:szCs w:val="24"/>
              </w:rPr>
            </w:pPr>
            <w:r w:rsidRPr="00D7705B">
              <w:rPr>
                <w:sz w:val="24"/>
                <w:szCs w:val="24"/>
              </w:rPr>
              <w:t>(49.17)</w:t>
            </w:r>
          </w:p>
        </w:tc>
        <w:tc>
          <w:tcPr>
            <w:tcW w:w="1902" w:type="dxa"/>
            <w:tcBorders>
              <w:top w:val="nil"/>
              <w:left w:val="nil"/>
              <w:bottom w:val="nil"/>
              <w:right w:val="nil"/>
            </w:tcBorders>
            <w:vAlign w:val="bottom"/>
          </w:tcPr>
          <w:p w:rsidR="007D1423" w:rsidRPr="00D7705B" w:rsidRDefault="007D1423" w:rsidP="00C65D5E">
            <w:pPr>
              <w:jc w:val="center"/>
              <w:rPr>
                <w:color w:val="000000"/>
                <w:sz w:val="24"/>
                <w:szCs w:val="24"/>
              </w:rPr>
            </w:pPr>
            <w:r w:rsidRPr="00D7705B">
              <w:rPr>
                <w:color w:val="000000"/>
                <w:sz w:val="24"/>
                <w:szCs w:val="24"/>
              </w:rPr>
              <w:t>10,486</w:t>
            </w:r>
          </w:p>
          <w:p w:rsidR="007D1423" w:rsidRPr="00D7705B" w:rsidRDefault="007D1423" w:rsidP="00C65D5E">
            <w:pPr>
              <w:jc w:val="center"/>
              <w:rPr>
                <w:sz w:val="24"/>
                <w:szCs w:val="24"/>
              </w:rPr>
            </w:pPr>
            <w:r w:rsidRPr="00D7705B">
              <w:rPr>
                <w:sz w:val="24"/>
                <w:szCs w:val="24"/>
              </w:rPr>
              <w:t>(49.49)</w:t>
            </w:r>
          </w:p>
        </w:tc>
        <w:tc>
          <w:tcPr>
            <w:tcW w:w="1618" w:type="dxa"/>
            <w:tcBorders>
              <w:top w:val="nil"/>
              <w:left w:val="nil"/>
              <w:bottom w:val="nil"/>
              <w:right w:val="nil"/>
            </w:tcBorders>
            <w:vAlign w:val="bottom"/>
          </w:tcPr>
          <w:p w:rsidR="007D1423" w:rsidRPr="00D7705B" w:rsidRDefault="007D1423" w:rsidP="00C65D5E">
            <w:pPr>
              <w:jc w:val="center"/>
              <w:rPr>
                <w:color w:val="000000"/>
                <w:sz w:val="24"/>
                <w:szCs w:val="24"/>
              </w:rPr>
            </w:pPr>
            <w:r w:rsidRPr="00D7705B">
              <w:rPr>
                <w:color w:val="000000"/>
                <w:sz w:val="24"/>
                <w:szCs w:val="24"/>
              </w:rPr>
              <w:t>2,033</w:t>
            </w:r>
          </w:p>
          <w:p w:rsidR="007D1423" w:rsidRPr="00D7705B" w:rsidRDefault="007D1423" w:rsidP="00C65D5E">
            <w:pPr>
              <w:jc w:val="center"/>
              <w:rPr>
                <w:sz w:val="24"/>
                <w:szCs w:val="24"/>
              </w:rPr>
            </w:pPr>
            <w:r w:rsidRPr="00D7705B">
              <w:rPr>
                <w:sz w:val="24"/>
                <w:szCs w:val="24"/>
              </w:rPr>
              <w:t>(55.96)</w:t>
            </w:r>
          </w:p>
        </w:tc>
        <w:tc>
          <w:tcPr>
            <w:tcW w:w="1715" w:type="dxa"/>
            <w:tcBorders>
              <w:top w:val="nil"/>
              <w:left w:val="nil"/>
              <w:bottom w:val="nil"/>
              <w:right w:val="nil"/>
            </w:tcBorders>
            <w:vAlign w:val="bottom"/>
          </w:tcPr>
          <w:p w:rsidR="007D1423" w:rsidRPr="00D7705B" w:rsidRDefault="007D1423" w:rsidP="00C65D5E">
            <w:pPr>
              <w:jc w:val="center"/>
              <w:rPr>
                <w:color w:val="000000"/>
                <w:sz w:val="24"/>
                <w:szCs w:val="24"/>
              </w:rPr>
            </w:pPr>
            <w:r w:rsidRPr="00D7705B">
              <w:rPr>
                <w:color w:val="000000"/>
                <w:sz w:val="24"/>
                <w:szCs w:val="24"/>
              </w:rPr>
              <w:t>2,445</w:t>
            </w:r>
          </w:p>
          <w:p w:rsidR="007D1423" w:rsidRPr="00D7705B" w:rsidRDefault="007D1423" w:rsidP="00C65D5E">
            <w:pPr>
              <w:jc w:val="center"/>
              <w:rPr>
                <w:sz w:val="24"/>
                <w:szCs w:val="24"/>
              </w:rPr>
            </w:pPr>
            <w:r w:rsidRPr="00D7705B">
              <w:rPr>
                <w:sz w:val="24"/>
                <w:szCs w:val="24"/>
              </w:rPr>
              <w:t>(68.30)</w:t>
            </w:r>
          </w:p>
        </w:tc>
      </w:tr>
      <w:tr w:rsidR="007D1423" w:rsidRPr="00D7705B" w:rsidTr="00C65D5E">
        <w:trPr>
          <w:trHeight w:val="595"/>
        </w:trPr>
        <w:tc>
          <w:tcPr>
            <w:tcW w:w="2874" w:type="dxa"/>
            <w:tcBorders>
              <w:top w:val="nil"/>
              <w:left w:val="nil"/>
              <w:bottom w:val="nil"/>
              <w:right w:val="nil"/>
            </w:tcBorders>
            <w:vAlign w:val="center"/>
          </w:tcPr>
          <w:p w:rsidR="007D1423" w:rsidRPr="00D7705B" w:rsidRDefault="007D1423" w:rsidP="00C65D5E">
            <w:pPr>
              <w:spacing w:before="120" w:after="120"/>
              <w:rPr>
                <w:b/>
                <w:sz w:val="24"/>
                <w:szCs w:val="24"/>
              </w:rPr>
            </w:pPr>
            <w:r w:rsidRPr="00D7705B">
              <w:rPr>
                <w:b/>
                <w:sz w:val="24"/>
                <w:szCs w:val="24"/>
              </w:rPr>
              <w:t>65 and over</w:t>
            </w:r>
          </w:p>
        </w:tc>
        <w:tc>
          <w:tcPr>
            <w:tcW w:w="1902" w:type="dxa"/>
            <w:tcBorders>
              <w:top w:val="nil"/>
              <w:left w:val="nil"/>
              <w:bottom w:val="nil"/>
              <w:right w:val="nil"/>
            </w:tcBorders>
            <w:vAlign w:val="bottom"/>
          </w:tcPr>
          <w:p w:rsidR="007D1423" w:rsidRPr="00D7705B" w:rsidRDefault="007D1423" w:rsidP="00C65D5E">
            <w:pPr>
              <w:jc w:val="center"/>
              <w:rPr>
                <w:sz w:val="24"/>
                <w:szCs w:val="24"/>
              </w:rPr>
            </w:pPr>
            <w:r w:rsidRPr="00D7705B">
              <w:rPr>
                <w:sz w:val="24"/>
                <w:szCs w:val="24"/>
              </w:rPr>
              <w:t>687</w:t>
            </w:r>
          </w:p>
          <w:p w:rsidR="007D1423" w:rsidRPr="00D7705B" w:rsidRDefault="007D1423" w:rsidP="00C65D5E">
            <w:pPr>
              <w:jc w:val="center"/>
              <w:rPr>
                <w:sz w:val="24"/>
                <w:szCs w:val="24"/>
              </w:rPr>
            </w:pPr>
            <w:r w:rsidRPr="00D7705B">
              <w:rPr>
                <w:sz w:val="24"/>
                <w:szCs w:val="24"/>
              </w:rPr>
              <w:t>(4.34)</w:t>
            </w:r>
          </w:p>
        </w:tc>
        <w:tc>
          <w:tcPr>
            <w:tcW w:w="1902" w:type="dxa"/>
            <w:tcBorders>
              <w:top w:val="nil"/>
              <w:left w:val="nil"/>
              <w:bottom w:val="nil"/>
              <w:right w:val="nil"/>
            </w:tcBorders>
            <w:vAlign w:val="bottom"/>
          </w:tcPr>
          <w:p w:rsidR="007D1423" w:rsidRPr="00D7705B" w:rsidRDefault="007D1423" w:rsidP="00C65D5E">
            <w:pPr>
              <w:jc w:val="center"/>
              <w:rPr>
                <w:color w:val="000000"/>
                <w:sz w:val="24"/>
                <w:szCs w:val="24"/>
              </w:rPr>
            </w:pPr>
            <w:r w:rsidRPr="00D7705B">
              <w:rPr>
                <w:color w:val="000000"/>
                <w:sz w:val="24"/>
                <w:szCs w:val="24"/>
              </w:rPr>
              <w:t>691</w:t>
            </w:r>
          </w:p>
          <w:p w:rsidR="007D1423" w:rsidRPr="00D7705B" w:rsidRDefault="007D1423" w:rsidP="00C65D5E">
            <w:pPr>
              <w:jc w:val="center"/>
              <w:rPr>
                <w:sz w:val="24"/>
                <w:szCs w:val="24"/>
              </w:rPr>
            </w:pPr>
            <w:r w:rsidRPr="00D7705B">
              <w:rPr>
                <w:sz w:val="24"/>
                <w:szCs w:val="24"/>
              </w:rPr>
              <w:t>(3.26)</w:t>
            </w:r>
          </w:p>
        </w:tc>
        <w:tc>
          <w:tcPr>
            <w:tcW w:w="1618" w:type="dxa"/>
            <w:tcBorders>
              <w:top w:val="nil"/>
              <w:left w:val="nil"/>
              <w:bottom w:val="nil"/>
              <w:right w:val="nil"/>
            </w:tcBorders>
            <w:vAlign w:val="bottom"/>
          </w:tcPr>
          <w:p w:rsidR="007D1423" w:rsidRPr="00D7705B" w:rsidRDefault="007D1423" w:rsidP="00C65D5E">
            <w:pPr>
              <w:jc w:val="center"/>
              <w:rPr>
                <w:color w:val="000000"/>
                <w:sz w:val="24"/>
                <w:szCs w:val="24"/>
              </w:rPr>
            </w:pPr>
            <w:r w:rsidRPr="00D7705B">
              <w:rPr>
                <w:color w:val="000000"/>
                <w:sz w:val="24"/>
                <w:szCs w:val="24"/>
              </w:rPr>
              <w:t>297</w:t>
            </w:r>
          </w:p>
          <w:p w:rsidR="007D1423" w:rsidRPr="00D7705B" w:rsidRDefault="007D1423" w:rsidP="00C65D5E">
            <w:pPr>
              <w:jc w:val="center"/>
              <w:rPr>
                <w:sz w:val="24"/>
                <w:szCs w:val="24"/>
              </w:rPr>
            </w:pPr>
            <w:r w:rsidRPr="00D7705B">
              <w:rPr>
                <w:sz w:val="24"/>
                <w:szCs w:val="24"/>
              </w:rPr>
              <w:t>(8.18)</w:t>
            </w:r>
          </w:p>
        </w:tc>
        <w:tc>
          <w:tcPr>
            <w:tcW w:w="1715" w:type="dxa"/>
            <w:tcBorders>
              <w:top w:val="nil"/>
              <w:left w:val="nil"/>
              <w:bottom w:val="nil"/>
              <w:right w:val="nil"/>
            </w:tcBorders>
            <w:vAlign w:val="bottom"/>
          </w:tcPr>
          <w:p w:rsidR="007D1423" w:rsidRPr="00D7705B" w:rsidRDefault="007D1423" w:rsidP="00C65D5E">
            <w:pPr>
              <w:jc w:val="center"/>
              <w:rPr>
                <w:color w:val="000000"/>
                <w:sz w:val="24"/>
                <w:szCs w:val="24"/>
              </w:rPr>
            </w:pPr>
            <w:r w:rsidRPr="00D7705B">
              <w:rPr>
                <w:color w:val="000000"/>
                <w:sz w:val="24"/>
                <w:szCs w:val="24"/>
              </w:rPr>
              <w:t>186</w:t>
            </w:r>
          </w:p>
          <w:p w:rsidR="007D1423" w:rsidRPr="00D7705B" w:rsidRDefault="007D1423" w:rsidP="00C65D5E">
            <w:pPr>
              <w:jc w:val="center"/>
              <w:rPr>
                <w:sz w:val="24"/>
                <w:szCs w:val="24"/>
              </w:rPr>
            </w:pPr>
            <w:r w:rsidRPr="00D7705B">
              <w:rPr>
                <w:sz w:val="24"/>
                <w:szCs w:val="24"/>
              </w:rPr>
              <w:t>(5.19)</w:t>
            </w:r>
          </w:p>
        </w:tc>
      </w:tr>
      <w:tr w:rsidR="007D1423" w:rsidRPr="00D7705B" w:rsidTr="00C65D5E">
        <w:trPr>
          <w:trHeight w:val="661"/>
        </w:trPr>
        <w:tc>
          <w:tcPr>
            <w:tcW w:w="2874" w:type="dxa"/>
            <w:tcBorders>
              <w:top w:val="nil"/>
              <w:left w:val="nil"/>
              <w:bottom w:val="single" w:sz="4" w:space="0" w:color="auto"/>
              <w:right w:val="nil"/>
            </w:tcBorders>
            <w:vAlign w:val="bottom"/>
          </w:tcPr>
          <w:p w:rsidR="007D1423" w:rsidRPr="00D7705B" w:rsidRDefault="007D1423" w:rsidP="00C65D5E">
            <w:pPr>
              <w:spacing w:before="120" w:after="120"/>
              <w:rPr>
                <w:b/>
                <w:sz w:val="24"/>
                <w:szCs w:val="24"/>
              </w:rPr>
            </w:pPr>
            <w:r w:rsidRPr="00D7705B">
              <w:rPr>
                <w:b/>
                <w:sz w:val="24"/>
                <w:szCs w:val="24"/>
              </w:rPr>
              <w:t>Total Population</w:t>
            </w:r>
          </w:p>
        </w:tc>
        <w:tc>
          <w:tcPr>
            <w:tcW w:w="1902" w:type="dxa"/>
            <w:tcBorders>
              <w:top w:val="nil"/>
              <w:left w:val="nil"/>
              <w:bottom w:val="single" w:sz="4" w:space="0" w:color="auto"/>
              <w:right w:val="nil"/>
            </w:tcBorders>
            <w:vAlign w:val="bottom"/>
          </w:tcPr>
          <w:p w:rsidR="007D1423" w:rsidRPr="00D7705B" w:rsidRDefault="007D1423" w:rsidP="00C65D5E">
            <w:pPr>
              <w:jc w:val="center"/>
              <w:rPr>
                <w:sz w:val="24"/>
                <w:szCs w:val="24"/>
              </w:rPr>
            </w:pPr>
            <w:r w:rsidRPr="00D7705B">
              <w:rPr>
                <w:sz w:val="24"/>
                <w:szCs w:val="24"/>
              </w:rPr>
              <w:t>15,836</w:t>
            </w:r>
          </w:p>
          <w:p w:rsidR="007D1423" w:rsidRPr="00D7705B" w:rsidRDefault="007D1423" w:rsidP="00C65D5E">
            <w:pPr>
              <w:jc w:val="center"/>
              <w:rPr>
                <w:sz w:val="24"/>
                <w:szCs w:val="24"/>
              </w:rPr>
            </w:pPr>
            <w:r w:rsidRPr="00D7705B">
              <w:rPr>
                <w:sz w:val="24"/>
                <w:szCs w:val="24"/>
              </w:rPr>
              <w:t>(100)</w:t>
            </w:r>
          </w:p>
        </w:tc>
        <w:tc>
          <w:tcPr>
            <w:tcW w:w="1902" w:type="dxa"/>
            <w:tcBorders>
              <w:top w:val="nil"/>
              <w:left w:val="nil"/>
              <w:bottom w:val="single" w:sz="4" w:space="0" w:color="auto"/>
              <w:right w:val="nil"/>
            </w:tcBorders>
            <w:vAlign w:val="bottom"/>
          </w:tcPr>
          <w:p w:rsidR="007D1423" w:rsidRPr="00D7705B" w:rsidRDefault="007D1423" w:rsidP="00C65D5E">
            <w:pPr>
              <w:jc w:val="center"/>
              <w:rPr>
                <w:sz w:val="24"/>
                <w:szCs w:val="24"/>
              </w:rPr>
            </w:pPr>
            <w:r w:rsidRPr="00D7705B">
              <w:rPr>
                <w:sz w:val="24"/>
                <w:szCs w:val="24"/>
              </w:rPr>
              <w:t>21,187</w:t>
            </w:r>
          </w:p>
          <w:p w:rsidR="007D1423" w:rsidRPr="00D7705B" w:rsidRDefault="007D1423" w:rsidP="00C65D5E">
            <w:pPr>
              <w:jc w:val="center"/>
              <w:rPr>
                <w:sz w:val="24"/>
                <w:szCs w:val="24"/>
              </w:rPr>
            </w:pPr>
            <w:r w:rsidRPr="00D7705B">
              <w:rPr>
                <w:sz w:val="24"/>
                <w:szCs w:val="24"/>
              </w:rPr>
              <w:t>(100)</w:t>
            </w:r>
          </w:p>
        </w:tc>
        <w:tc>
          <w:tcPr>
            <w:tcW w:w="1618" w:type="dxa"/>
            <w:tcBorders>
              <w:top w:val="nil"/>
              <w:left w:val="nil"/>
              <w:bottom w:val="single" w:sz="4" w:space="0" w:color="auto"/>
              <w:right w:val="nil"/>
            </w:tcBorders>
            <w:vAlign w:val="bottom"/>
          </w:tcPr>
          <w:p w:rsidR="007D1423" w:rsidRPr="00D7705B" w:rsidRDefault="007D1423" w:rsidP="00C65D5E">
            <w:pPr>
              <w:jc w:val="center"/>
              <w:rPr>
                <w:color w:val="000000"/>
                <w:sz w:val="24"/>
                <w:szCs w:val="24"/>
              </w:rPr>
            </w:pPr>
            <w:r w:rsidRPr="00D7705B">
              <w:rPr>
                <w:color w:val="000000"/>
                <w:sz w:val="24"/>
                <w:szCs w:val="24"/>
              </w:rPr>
              <w:t>3,633</w:t>
            </w:r>
          </w:p>
          <w:p w:rsidR="007D1423" w:rsidRPr="00D7705B" w:rsidRDefault="007D1423" w:rsidP="00C65D5E">
            <w:pPr>
              <w:jc w:val="center"/>
              <w:rPr>
                <w:sz w:val="24"/>
                <w:szCs w:val="24"/>
              </w:rPr>
            </w:pPr>
            <w:r w:rsidRPr="00D7705B">
              <w:rPr>
                <w:sz w:val="24"/>
                <w:szCs w:val="24"/>
              </w:rPr>
              <w:t>(100)</w:t>
            </w:r>
          </w:p>
        </w:tc>
        <w:tc>
          <w:tcPr>
            <w:tcW w:w="1715" w:type="dxa"/>
            <w:tcBorders>
              <w:top w:val="nil"/>
              <w:left w:val="nil"/>
              <w:bottom w:val="single" w:sz="4" w:space="0" w:color="auto"/>
              <w:right w:val="nil"/>
            </w:tcBorders>
            <w:vAlign w:val="bottom"/>
          </w:tcPr>
          <w:p w:rsidR="007D1423" w:rsidRPr="00D7705B" w:rsidRDefault="007D1423" w:rsidP="00C65D5E">
            <w:pPr>
              <w:jc w:val="center"/>
              <w:rPr>
                <w:color w:val="000000"/>
                <w:sz w:val="24"/>
                <w:szCs w:val="24"/>
              </w:rPr>
            </w:pPr>
            <w:r w:rsidRPr="00D7705B">
              <w:rPr>
                <w:color w:val="000000"/>
                <w:sz w:val="24"/>
                <w:szCs w:val="24"/>
              </w:rPr>
              <w:t>3,580</w:t>
            </w:r>
          </w:p>
          <w:p w:rsidR="007D1423" w:rsidRPr="00D7705B" w:rsidRDefault="007D1423" w:rsidP="00C65D5E">
            <w:pPr>
              <w:jc w:val="center"/>
              <w:rPr>
                <w:sz w:val="24"/>
                <w:szCs w:val="24"/>
              </w:rPr>
            </w:pPr>
            <w:r w:rsidRPr="00D7705B">
              <w:rPr>
                <w:sz w:val="24"/>
                <w:szCs w:val="24"/>
              </w:rPr>
              <w:t>(100)</w:t>
            </w:r>
          </w:p>
        </w:tc>
      </w:tr>
    </w:tbl>
    <w:p w:rsidR="007D06DF" w:rsidRDefault="007D06DF" w:rsidP="005D0BB6">
      <w:pPr>
        <w:tabs>
          <w:tab w:val="left" w:pos="630"/>
        </w:tabs>
        <w:spacing w:line="480" w:lineRule="auto"/>
        <w:rPr>
          <w:sz w:val="24"/>
          <w:szCs w:val="24"/>
        </w:rPr>
      </w:pPr>
      <w:r w:rsidRPr="00D7705B">
        <w:rPr>
          <w:sz w:val="24"/>
          <w:szCs w:val="24"/>
        </w:rPr>
        <w:t>Source: United States Census Bureau, 2010</w:t>
      </w:r>
    </w:p>
    <w:p w:rsidR="007D06DF" w:rsidRDefault="007D06DF" w:rsidP="007D06DF">
      <w:pPr>
        <w:spacing w:line="480" w:lineRule="auto"/>
        <w:ind w:firstLine="720"/>
        <w:rPr>
          <w:sz w:val="24"/>
          <w:szCs w:val="24"/>
        </w:rPr>
      </w:pPr>
      <w:r w:rsidRPr="00D851F7">
        <w:rPr>
          <w:sz w:val="24"/>
          <w:szCs w:val="24"/>
        </w:rPr>
        <w:t>Table 1 demonstrates that children who resided in communities with zip code 93706 and 93702 were more likely to live below poverty levels when compared to children who resided in communities with zip code 93611 and 93702. Children who resided in communities with zip code 93720 were the least likely to live below the poverty level out of the four zip codes.</w:t>
      </w:r>
      <w:r>
        <w:rPr>
          <w:sz w:val="24"/>
          <w:szCs w:val="24"/>
        </w:rPr>
        <w:t xml:space="preserve"> Poverty rates as a whole in Fresno County as higher than the overall California poverty rate of 15.3%</w:t>
      </w:r>
      <w:r w:rsidR="00033E20">
        <w:rPr>
          <w:sz w:val="24"/>
          <w:szCs w:val="24"/>
        </w:rPr>
        <w:t xml:space="preserve"> </w:t>
      </w:r>
      <w:r w:rsidR="00296495" w:rsidRPr="00316795">
        <w:rPr>
          <w:sz w:val="24"/>
          <w:szCs w:val="24"/>
        </w:rPr>
        <w:t>(United States Census Bureau, 2010</w:t>
      </w:r>
      <w:r w:rsidR="00296495" w:rsidRPr="00076450">
        <w:rPr>
          <w:sz w:val="24"/>
          <w:szCs w:val="24"/>
        </w:rPr>
        <w:t>)</w:t>
      </w:r>
      <w:r>
        <w:rPr>
          <w:sz w:val="24"/>
          <w:szCs w:val="24"/>
        </w:rPr>
        <w:t>.</w:t>
      </w:r>
    </w:p>
    <w:p w:rsidR="00382E10" w:rsidRPr="00594A4B" w:rsidRDefault="00382E10" w:rsidP="00382E10">
      <w:pPr>
        <w:tabs>
          <w:tab w:val="left" w:pos="7905"/>
        </w:tabs>
        <w:spacing w:line="480" w:lineRule="auto"/>
        <w:rPr>
          <w:i/>
          <w:sz w:val="24"/>
          <w:szCs w:val="24"/>
        </w:rPr>
      </w:pPr>
      <w:r w:rsidRPr="00594A4B">
        <w:rPr>
          <w:i/>
          <w:sz w:val="24"/>
          <w:szCs w:val="24"/>
        </w:rPr>
        <w:t>Child Maltreatment</w:t>
      </w:r>
    </w:p>
    <w:p w:rsidR="00382E10" w:rsidRDefault="00382E10" w:rsidP="00382E10">
      <w:pPr>
        <w:tabs>
          <w:tab w:val="left" w:pos="720"/>
        </w:tabs>
        <w:spacing w:line="480" w:lineRule="auto"/>
        <w:rPr>
          <w:sz w:val="24"/>
          <w:szCs w:val="24"/>
        </w:rPr>
      </w:pPr>
      <w:r>
        <w:rPr>
          <w:sz w:val="24"/>
          <w:szCs w:val="24"/>
        </w:rPr>
        <w:tab/>
        <w:t xml:space="preserve">The researcher included child maltreatment rates for years 2010 to 2013 by utilizing secondary data from the Center for Social Service Research at University of California, Berkeley and county administrative data. The Center for Social Service Research at University of California, Berkeley is a California Child Welfare Indicators Project that was established to engage in ongoing research projects </w:t>
      </w:r>
      <w:r w:rsidRPr="00962376">
        <w:rPr>
          <w:sz w:val="24"/>
          <w:szCs w:val="24"/>
        </w:rPr>
        <w:t xml:space="preserve">and to influence the use of administrative county data for </w:t>
      </w:r>
      <w:r w:rsidRPr="00962376">
        <w:rPr>
          <w:sz w:val="24"/>
          <w:szCs w:val="24"/>
        </w:rPr>
        <w:lastRenderedPageBreak/>
        <w:t>research purposes (Needell et al., 2013). The researcher attempt</w:t>
      </w:r>
      <w:r w:rsidR="00BC568F">
        <w:rPr>
          <w:sz w:val="24"/>
          <w:szCs w:val="24"/>
        </w:rPr>
        <w:t>ed</w:t>
      </w:r>
      <w:r w:rsidRPr="00962376">
        <w:rPr>
          <w:sz w:val="24"/>
          <w:szCs w:val="24"/>
        </w:rPr>
        <w:t xml:space="preserve"> to discover if there may be a possible relationship between one’s socioeconomic class and child maltreatment allegations by comparing poverty statistics and child maltreatment allegations from Fresno County through administrative county data. The researcher, furthermore, compared Fresno County’s child maltreatment allegations to the state of California in order to detect any differences between the two. </w:t>
      </w:r>
    </w:p>
    <w:p w:rsidR="00382E10" w:rsidRPr="00C57B83" w:rsidRDefault="00382E10" w:rsidP="00382E10">
      <w:pPr>
        <w:tabs>
          <w:tab w:val="left" w:pos="720"/>
        </w:tabs>
        <w:spacing w:line="480" w:lineRule="auto"/>
        <w:rPr>
          <w:sz w:val="24"/>
          <w:szCs w:val="24"/>
        </w:rPr>
      </w:pPr>
      <w:r w:rsidRPr="00C57B83">
        <w:rPr>
          <w:sz w:val="24"/>
          <w:szCs w:val="24"/>
        </w:rPr>
        <w:t>Table 2 represents the total child maltreatment allegations for the State of California</w:t>
      </w:r>
      <w:r w:rsidR="00872725" w:rsidRPr="00C57B83">
        <w:rPr>
          <w:sz w:val="24"/>
          <w:szCs w:val="24"/>
        </w:rPr>
        <w:t xml:space="preserve"> and Fresno County</w:t>
      </w:r>
      <w:r w:rsidRPr="00C57B83">
        <w:rPr>
          <w:sz w:val="24"/>
          <w:szCs w:val="24"/>
        </w:rPr>
        <w:t xml:space="preserve"> from </w:t>
      </w:r>
      <w:r w:rsidR="00872725" w:rsidRPr="00C57B83">
        <w:rPr>
          <w:sz w:val="24"/>
          <w:szCs w:val="24"/>
        </w:rPr>
        <w:t>2011 and 2012.</w:t>
      </w:r>
    </w:p>
    <w:tbl>
      <w:tblPr>
        <w:tblpPr w:leftFromText="180" w:rightFromText="180" w:vertAnchor="text" w:horzAnchor="margin" w:tblpXSpec="center" w:tblpY="107"/>
        <w:tblW w:w="9588" w:type="dxa"/>
        <w:tblLook w:val="04A0" w:firstRow="1" w:lastRow="0" w:firstColumn="1" w:lastColumn="0" w:noHBand="0" w:noVBand="1"/>
      </w:tblPr>
      <w:tblGrid>
        <w:gridCol w:w="1880"/>
        <w:gridCol w:w="1790"/>
        <w:gridCol w:w="1790"/>
        <w:gridCol w:w="2164"/>
        <w:gridCol w:w="1964"/>
      </w:tblGrid>
      <w:tr w:rsidR="0043572C" w:rsidRPr="00C57B83" w:rsidTr="001672DE">
        <w:trPr>
          <w:trHeight w:val="476"/>
        </w:trPr>
        <w:tc>
          <w:tcPr>
            <w:tcW w:w="9588" w:type="dxa"/>
            <w:gridSpan w:val="5"/>
          </w:tcPr>
          <w:p w:rsidR="000E20AE" w:rsidRPr="00C57B83" w:rsidRDefault="000E20AE" w:rsidP="00750CB4">
            <w:pPr>
              <w:tabs>
                <w:tab w:val="left" w:pos="1291"/>
              </w:tabs>
              <w:rPr>
                <w:b/>
                <w:sz w:val="24"/>
                <w:szCs w:val="24"/>
              </w:rPr>
            </w:pPr>
            <w:r w:rsidRPr="00C57B83">
              <w:rPr>
                <w:b/>
                <w:sz w:val="24"/>
                <w:szCs w:val="24"/>
              </w:rPr>
              <w:t>Table 2</w:t>
            </w:r>
          </w:p>
        </w:tc>
      </w:tr>
      <w:tr w:rsidR="0043572C" w:rsidRPr="00C57B83" w:rsidTr="001672DE">
        <w:trPr>
          <w:trHeight w:val="681"/>
        </w:trPr>
        <w:tc>
          <w:tcPr>
            <w:tcW w:w="9588" w:type="dxa"/>
            <w:gridSpan w:val="5"/>
            <w:tcBorders>
              <w:bottom w:val="single" w:sz="4" w:space="0" w:color="auto"/>
            </w:tcBorders>
          </w:tcPr>
          <w:p w:rsidR="000E20AE" w:rsidRPr="00C57B83" w:rsidRDefault="000E20AE" w:rsidP="00750CB4">
            <w:pPr>
              <w:tabs>
                <w:tab w:val="left" w:pos="1291"/>
              </w:tabs>
              <w:rPr>
                <w:b/>
                <w:sz w:val="24"/>
                <w:szCs w:val="24"/>
              </w:rPr>
            </w:pPr>
            <w:r w:rsidRPr="00C57B83">
              <w:rPr>
                <w:b/>
                <w:sz w:val="24"/>
                <w:szCs w:val="24"/>
              </w:rPr>
              <w:t>Child Maltreatment Allegations for the State of California and Fresno County  from 2011 and 2012</w:t>
            </w:r>
          </w:p>
        </w:tc>
      </w:tr>
      <w:tr w:rsidR="000E20AE" w:rsidRPr="00C57B83" w:rsidTr="001672DE">
        <w:trPr>
          <w:trHeight w:val="1023"/>
        </w:trPr>
        <w:tc>
          <w:tcPr>
            <w:tcW w:w="1880" w:type="dxa"/>
            <w:tcBorders>
              <w:top w:val="single" w:sz="4" w:space="0" w:color="auto"/>
              <w:bottom w:val="single" w:sz="4" w:space="0" w:color="auto"/>
            </w:tcBorders>
          </w:tcPr>
          <w:p w:rsidR="000E20AE" w:rsidRPr="00C57B83" w:rsidRDefault="000E20AE" w:rsidP="00750CB4">
            <w:pPr>
              <w:tabs>
                <w:tab w:val="left" w:pos="1291"/>
              </w:tabs>
              <w:rPr>
                <w:sz w:val="24"/>
                <w:szCs w:val="24"/>
              </w:rPr>
            </w:pPr>
          </w:p>
        </w:tc>
        <w:tc>
          <w:tcPr>
            <w:tcW w:w="1790" w:type="dxa"/>
            <w:tcBorders>
              <w:top w:val="single" w:sz="4" w:space="0" w:color="auto"/>
              <w:bottom w:val="single" w:sz="4" w:space="0" w:color="auto"/>
            </w:tcBorders>
          </w:tcPr>
          <w:p w:rsidR="000E20AE" w:rsidRPr="00C57B83" w:rsidRDefault="000E20AE" w:rsidP="00750CB4">
            <w:pPr>
              <w:tabs>
                <w:tab w:val="left" w:pos="1291"/>
              </w:tabs>
              <w:jc w:val="center"/>
              <w:rPr>
                <w:b/>
                <w:sz w:val="24"/>
                <w:szCs w:val="24"/>
              </w:rPr>
            </w:pPr>
            <w:r w:rsidRPr="00C57B83">
              <w:rPr>
                <w:b/>
                <w:sz w:val="24"/>
                <w:szCs w:val="24"/>
              </w:rPr>
              <w:t xml:space="preserve"> California 2011</w:t>
            </w:r>
          </w:p>
          <w:p w:rsidR="000E20AE" w:rsidRPr="00C57B83" w:rsidRDefault="000E20AE" w:rsidP="00750CB4">
            <w:pPr>
              <w:tabs>
                <w:tab w:val="left" w:pos="1291"/>
              </w:tabs>
              <w:jc w:val="center"/>
              <w:rPr>
                <w:b/>
                <w:sz w:val="24"/>
                <w:szCs w:val="24"/>
              </w:rPr>
            </w:pPr>
            <w:r w:rsidRPr="00C57B83">
              <w:rPr>
                <w:b/>
                <w:sz w:val="24"/>
                <w:szCs w:val="24"/>
              </w:rPr>
              <w:t>n (%)</w:t>
            </w:r>
          </w:p>
        </w:tc>
        <w:tc>
          <w:tcPr>
            <w:tcW w:w="1790" w:type="dxa"/>
            <w:tcBorders>
              <w:top w:val="single" w:sz="4" w:space="0" w:color="auto"/>
              <w:bottom w:val="single" w:sz="4" w:space="0" w:color="auto"/>
            </w:tcBorders>
          </w:tcPr>
          <w:p w:rsidR="000E20AE" w:rsidRPr="00C57B83" w:rsidRDefault="000E20AE" w:rsidP="00750CB4">
            <w:pPr>
              <w:tabs>
                <w:tab w:val="left" w:pos="1291"/>
              </w:tabs>
              <w:jc w:val="center"/>
              <w:rPr>
                <w:b/>
                <w:sz w:val="24"/>
                <w:szCs w:val="24"/>
              </w:rPr>
            </w:pPr>
            <w:r w:rsidRPr="00C57B83">
              <w:rPr>
                <w:b/>
                <w:sz w:val="24"/>
                <w:szCs w:val="24"/>
              </w:rPr>
              <w:t xml:space="preserve"> California  2012</w:t>
            </w:r>
          </w:p>
          <w:p w:rsidR="000E20AE" w:rsidRPr="00C57B83" w:rsidRDefault="000E20AE" w:rsidP="00750CB4">
            <w:pPr>
              <w:tabs>
                <w:tab w:val="left" w:pos="1291"/>
              </w:tabs>
              <w:jc w:val="center"/>
              <w:rPr>
                <w:b/>
                <w:sz w:val="24"/>
                <w:szCs w:val="24"/>
              </w:rPr>
            </w:pPr>
            <w:r w:rsidRPr="00C57B83">
              <w:rPr>
                <w:b/>
                <w:sz w:val="24"/>
                <w:szCs w:val="24"/>
              </w:rPr>
              <w:t>n (%)</w:t>
            </w:r>
          </w:p>
        </w:tc>
        <w:tc>
          <w:tcPr>
            <w:tcW w:w="2164" w:type="dxa"/>
            <w:tcBorders>
              <w:top w:val="single" w:sz="4" w:space="0" w:color="auto"/>
              <w:bottom w:val="single" w:sz="4" w:space="0" w:color="auto"/>
            </w:tcBorders>
          </w:tcPr>
          <w:p w:rsidR="000E20AE" w:rsidRPr="00C57B83" w:rsidRDefault="000E20AE" w:rsidP="00750CB4">
            <w:pPr>
              <w:tabs>
                <w:tab w:val="left" w:pos="1291"/>
              </w:tabs>
              <w:jc w:val="center"/>
              <w:rPr>
                <w:b/>
                <w:sz w:val="24"/>
                <w:szCs w:val="24"/>
              </w:rPr>
            </w:pPr>
            <w:r w:rsidRPr="00C57B83">
              <w:rPr>
                <w:b/>
                <w:sz w:val="24"/>
                <w:szCs w:val="24"/>
              </w:rPr>
              <w:t xml:space="preserve">Fresno County 2011 </w:t>
            </w:r>
          </w:p>
          <w:p w:rsidR="000E20AE" w:rsidRPr="00C57B83" w:rsidRDefault="000E20AE" w:rsidP="00750CB4">
            <w:pPr>
              <w:tabs>
                <w:tab w:val="left" w:pos="1291"/>
              </w:tabs>
              <w:jc w:val="center"/>
              <w:rPr>
                <w:b/>
                <w:sz w:val="24"/>
                <w:szCs w:val="24"/>
              </w:rPr>
            </w:pPr>
            <w:r w:rsidRPr="00C57B83">
              <w:rPr>
                <w:b/>
                <w:sz w:val="24"/>
                <w:szCs w:val="24"/>
              </w:rPr>
              <w:t>n (%)</w:t>
            </w:r>
          </w:p>
        </w:tc>
        <w:tc>
          <w:tcPr>
            <w:tcW w:w="1964" w:type="dxa"/>
            <w:tcBorders>
              <w:top w:val="single" w:sz="4" w:space="0" w:color="auto"/>
              <w:bottom w:val="single" w:sz="4" w:space="0" w:color="auto"/>
            </w:tcBorders>
          </w:tcPr>
          <w:p w:rsidR="000E20AE" w:rsidRPr="00C57B83" w:rsidRDefault="000E20AE" w:rsidP="00750CB4">
            <w:pPr>
              <w:tabs>
                <w:tab w:val="left" w:pos="1291"/>
              </w:tabs>
              <w:jc w:val="center"/>
              <w:rPr>
                <w:b/>
                <w:sz w:val="24"/>
                <w:szCs w:val="24"/>
              </w:rPr>
            </w:pPr>
            <w:r w:rsidRPr="00C57B83">
              <w:rPr>
                <w:b/>
                <w:sz w:val="24"/>
                <w:szCs w:val="24"/>
              </w:rPr>
              <w:t>Fresno County 2012</w:t>
            </w:r>
          </w:p>
          <w:p w:rsidR="000E20AE" w:rsidRPr="00C57B83" w:rsidRDefault="000E20AE" w:rsidP="00750CB4">
            <w:pPr>
              <w:tabs>
                <w:tab w:val="left" w:pos="1291"/>
              </w:tabs>
              <w:jc w:val="center"/>
              <w:rPr>
                <w:b/>
                <w:sz w:val="24"/>
                <w:szCs w:val="24"/>
              </w:rPr>
            </w:pPr>
            <w:r w:rsidRPr="00C57B83">
              <w:rPr>
                <w:b/>
                <w:sz w:val="24"/>
                <w:szCs w:val="24"/>
              </w:rPr>
              <w:t>n (%)</w:t>
            </w:r>
          </w:p>
        </w:tc>
      </w:tr>
      <w:tr w:rsidR="000E20AE" w:rsidRPr="00C57B83" w:rsidTr="001672DE">
        <w:trPr>
          <w:trHeight w:val="594"/>
        </w:trPr>
        <w:tc>
          <w:tcPr>
            <w:tcW w:w="1880" w:type="dxa"/>
            <w:tcBorders>
              <w:top w:val="single" w:sz="4" w:space="0" w:color="auto"/>
            </w:tcBorders>
            <w:vAlign w:val="center"/>
          </w:tcPr>
          <w:p w:rsidR="000E20AE" w:rsidRPr="00C57B83" w:rsidRDefault="000E20AE" w:rsidP="00750CB4">
            <w:pPr>
              <w:rPr>
                <w:b/>
                <w:sz w:val="24"/>
                <w:szCs w:val="24"/>
              </w:rPr>
            </w:pPr>
            <w:r w:rsidRPr="00C57B83">
              <w:rPr>
                <w:b/>
                <w:sz w:val="24"/>
                <w:szCs w:val="24"/>
              </w:rPr>
              <w:t>Sexual Abuse</w:t>
            </w:r>
          </w:p>
        </w:tc>
        <w:tc>
          <w:tcPr>
            <w:tcW w:w="1790" w:type="dxa"/>
            <w:tcBorders>
              <w:top w:val="single" w:sz="4" w:space="0" w:color="auto"/>
            </w:tcBorders>
          </w:tcPr>
          <w:p w:rsidR="000E20AE" w:rsidRPr="00C57B83" w:rsidRDefault="000E20AE" w:rsidP="00750CB4">
            <w:pPr>
              <w:tabs>
                <w:tab w:val="left" w:pos="1291"/>
              </w:tabs>
              <w:jc w:val="center"/>
              <w:rPr>
                <w:sz w:val="24"/>
                <w:szCs w:val="24"/>
              </w:rPr>
            </w:pPr>
            <w:r w:rsidRPr="00C57B83">
              <w:rPr>
                <w:sz w:val="24"/>
                <w:szCs w:val="24"/>
              </w:rPr>
              <w:t>40,608</w:t>
            </w:r>
          </w:p>
          <w:p w:rsidR="000E20AE" w:rsidRPr="00C57B83" w:rsidRDefault="000E20AE" w:rsidP="00750CB4">
            <w:pPr>
              <w:tabs>
                <w:tab w:val="left" w:pos="1291"/>
              </w:tabs>
              <w:jc w:val="center"/>
              <w:rPr>
                <w:sz w:val="24"/>
                <w:szCs w:val="24"/>
              </w:rPr>
            </w:pPr>
            <w:r w:rsidRPr="00C57B83">
              <w:rPr>
                <w:sz w:val="24"/>
                <w:szCs w:val="24"/>
              </w:rPr>
              <w:t>(8.55)</w:t>
            </w:r>
          </w:p>
        </w:tc>
        <w:tc>
          <w:tcPr>
            <w:tcW w:w="1790" w:type="dxa"/>
            <w:tcBorders>
              <w:top w:val="single" w:sz="4" w:space="0" w:color="auto"/>
            </w:tcBorders>
          </w:tcPr>
          <w:p w:rsidR="000E20AE" w:rsidRPr="00C57B83" w:rsidRDefault="000E20AE" w:rsidP="00750CB4">
            <w:pPr>
              <w:tabs>
                <w:tab w:val="left" w:pos="1291"/>
              </w:tabs>
              <w:jc w:val="center"/>
              <w:rPr>
                <w:sz w:val="24"/>
                <w:szCs w:val="24"/>
              </w:rPr>
            </w:pPr>
            <w:r w:rsidRPr="00C57B83">
              <w:rPr>
                <w:sz w:val="24"/>
                <w:szCs w:val="24"/>
              </w:rPr>
              <w:t>42,010</w:t>
            </w:r>
          </w:p>
          <w:p w:rsidR="000E20AE" w:rsidRPr="00C57B83" w:rsidRDefault="000E20AE" w:rsidP="00750CB4">
            <w:pPr>
              <w:tabs>
                <w:tab w:val="left" w:pos="1291"/>
              </w:tabs>
              <w:jc w:val="center"/>
              <w:rPr>
                <w:sz w:val="24"/>
                <w:szCs w:val="24"/>
              </w:rPr>
            </w:pPr>
            <w:r w:rsidRPr="00C57B83">
              <w:rPr>
                <w:sz w:val="24"/>
                <w:szCs w:val="24"/>
              </w:rPr>
              <w:t>(8.36)</w:t>
            </w:r>
          </w:p>
        </w:tc>
        <w:tc>
          <w:tcPr>
            <w:tcW w:w="2164" w:type="dxa"/>
            <w:tcBorders>
              <w:top w:val="single" w:sz="4" w:space="0" w:color="auto"/>
            </w:tcBorders>
            <w:vAlign w:val="center"/>
          </w:tcPr>
          <w:p w:rsidR="000E20AE" w:rsidRPr="00C57B83" w:rsidRDefault="000E20AE" w:rsidP="00750CB4">
            <w:pPr>
              <w:spacing w:line="60" w:lineRule="atLeast"/>
              <w:jc w:val="center"/>
              <w:rPr>
                <w:sz w:val="24"/>
                <w:szCs w:val="24"/>
              </w:rPr>
            </w:pPr>
            <w:r w:rsidRPr="00C57B83">
              <w:rPr>
                <w:sz w:val="24"/>
                <w:szCs w:val="24"/>
              </w:rPr>
              <w:t>876</w:t>
            </w:r>
          </w:p>
          <w:p w:rsidR="000E20AE" w:rsidRPr="00C57B83" w:rsidRDefault="000E20AE" w:rsidP="00750CB4">
            <w:pPr>
              <w:spacing w:line="60" w:lineRule="atLeast"/>
              <w:jc w:val="center"/>
              <w:rPr>
                <w:sz w:val="24"/>
                <w:szCs w:val="24"/>
              </w:rPr>
            </w:pPr>
            <w:r w:rsidRPr="00C57B83">
              <w:rPr>
                <w:sz w:val="24"/>
                <w:szCs w:val="24"/>
              </w:rPr>
              <w:t>(4.58)</w:t>
            </w:r>
          </w:p>
        </w:tc>
        <w:tc>
          <w:tcPr>
            <w:tcW w:w="1964" w:type="dxa"/>
            <w:tcBorders>
              <w:top w:val="single" w:sz="4" w:space="0" w:color="auto"/>
            </w:tcBorders>
            <w:vAlign w:val="center"/>
          </w:tcPr>
          <w:p w:rsidR="000E20AE" w:rsidRPr="00C57B83" w:rsidRDefault="000E20AE" w:rsidP="00750CB4">
            <w:pPr>
              <w:spacing w:line="60" w:lineRule="atLeast"/>
              <w:jc w:val="center"/>
              <w:rPr>
                <w:sz w:val="24"/>
                <w:szCs w:val="24"/>
              </w:rPr>
            </w:pPr>
            <w:r w:rsidRPr="00C57B83">
              <w:rPr>
                <w:sz w:val="24"/>
                <w:szCs w:val="24"/>
              </w:rPr>
              <w:t>1,001</w:t>
            </w:r>
          </w:p>
          <w:p w:rsidR="000E20AE" w:rsidRPr="00C57B83" w:rsidRDefault="000E20AE" w:rsidP="00750CB4">
            <w:pPr>
              <w:spacing w:line="60" w:lineRule="atLeast"/>
              <w:jc w:val="center"/>
              <w:rPr>
                <w:sz w:val="24"/>
                <w:szCs w:val="24"/>
              </w:rPr>
            </w:pPr>
            <w:r w:rsidRPr="00C57B83">
              <w:rPr>
                <w:sz w:val="24"/>
                <w:szCs w:val="24"/>
              </w:rPr>
              <w:t>(5.25)</w:t>
            </w:r>
          </w:p>
        </w:tc>
      </w:tr>
      <w:tr w:rsidR="000E20AE" w:rsidRPr="00C57B83" w:rsidTr="001672DE">
        <w:trPr>
          <w:trHeight w:val="605"/>
        </w:trPr>
        <w:tc>
          <w:tcPr>
            <w:tcW w:w="1880" w:type="dxa"/>
            <w:vAlign w:val="center"/>
          </w:tcPr>
          <w:p w:rsidR="000E20AE" w:rsidRPr="00C57B83" w:rsidRDefault="000E20AE" w:rsidP="00750CB4">
            <w:pPr>
              <w:rPr>
                <w:b/>
                <w:sz w:val="24"/>
                <w:szCs w:val="24"/>
              </w:rPr>
            </w:pPr>
            <w:r w:rsidRPr="00C57B83">
              <w:rPr>
                <w:b/>
                <w:sz w:val="24"/>
                <w:szCs w:val="24"/>
              </w:rPr>
              <w:t>Physical Abuse</w:t>
            </w:r>
          </w:p>
        </w:tc>
        <w:tc>
          <w:tcPr>
            <w:tcW w:w="1790" w:type="dxa"/>
          </w:tcPr>
          <w:p w:rsidR="000E20AE" w:rsidRPr="00C57B83" w:rsidRDefault="000E20AE" w:rsidP="00750CB4">
            <w:pPr>
              <w:tabs>
                <w:tab w:val="left" w:pos="1291"/>
              </w:tabs>
              <w:jc w:val="center"/>
              <w:rPr>
                <w:sz w:val="24"/>
                <w:szCs w:val="24"/>
              </w:rPr>
            </w:pPr>
            <w:r w:rsidRPr="00C57B83">
              <w:rPr>
                <w:sz w:val="24"/>
                <w:szCs w:val="24"/>
              </w:rPr>
              <w:t>91,495</w:t>
            </w:r>
          </w:p>
          <w:p w:rsidR="000E20AE" w:rsidRPr="00C57B83" w:rsidRDefault="000E20AE" w:rsidP="00750CB4">
            <w:pPr>
              <w:tabs>
                <w:tab w:val="left" w:pos="1291"/>
              </w:tabs>
              <w:jc w:val="center"/>
              <w:rPr>
                <w:sz w:val="24"/>
                <w:szCs w:val="24"/>
              </w:rPr>
            </w:pPr>
            <w:r w:rsidRPr="00C57B83">
              <w:rPr>
                <w:sz w:val="24"/>
                <w:szCs w:val="24"/>
              </w:rPr>
              <w:t>(19.25)</w:t>
            </w:r>
          </w:p>
        </w:tc>
        <w:tc>
          <w:tcPr>
            <w:tcW w:w="1790" w:type="dxa"/>
          </w:tcPr>
          <w:p w:rsidR="000E20AE" w:rsidRPr="00C57B83" w:rsidRDefault="000E20AE" w:rsidP="00750CB4">
            <w:pPr>
              <w:tabs>
                <w:tab w:val="left" w:pos="1291"/>
              </w:tabs>
              <w:jc w:val="center"/>
              <w:rPr>
                <w:sz w:val="24"/>
                <w:szCs w:val="24"/>
              </w:rPr>
            </w:pPr>
            <w:r w:rsidRPr="00C57B83">
              <w:rPr>
                <w:sz w:val="24"/>
                <w:szCs w:val="24"/>
              </w:rPr>
              <w:t>93,786</w:t>
            </w:r>
          </w:p>
          <w:p w:rsidR="000E20AE" w:rsidRPr="00C57B83" w:rsidRDefault="000E20AE" w:rsidP="00750CB4">
            <w:pPr>
              <w:tabs>
                <w:tab w:val="left" w:pos="1291"/>
              </w:tabs>
              <w:jc w:val="center"/>
              <w:rPr>
                <w:sz w:val="24"/>
                <w:szCs w:val="24"/>
              </w:rPr>
            </w:pPr>
            <w:r w:rsidRPr="00C57B83">
              <w:rPr>
                <w:sz w:val="24"/>
                <w:szCs w:val="24"/>
              </w:rPr>
              <w:t>(18.67)</w:t>
            </w:r>
          </w:p>
        </w:tc>
        <w:tc>
          <w:tcPr>
            <w:tcW w:w="2164" w:type="dxa"/>
            <w:vAlign w:val="center"/>
          </w:tcPr>
          <w:p w:rsidR="000E20AE" w:rsidRPr="00C57B83" w:rsidRDefault="000E20AE" w:rsidP="00750CB4">
            <w:pPr>
              <w:spacing w:line="60" w:lineRule="atLeast"/>
              <w:jc w:val="center"/>
              <w:rPr>
                <w:sz w:val="24"/>
                <w:szCs w:val="24"/>
              </w:rPr>
            </w:pPr>
            <w:r w:rsidRPr="00C57B83">
              <w:rPr>
                <w:sz w:val="24"/>
                <w:szCs w:val="24"/>
              </w:rPr>
              <w:t>3,059</w:t>
            </w:r>
          </w:p>
          <w:p w:rsidR="000E20AE" w:rsidRPr="00C57B83" w:rsidRDefault="000E20AE" w:rsidP="00750CB4">
            <w:pPr>
              <w:spacing w:line="60" w:lineRule="atLeast"/>
              <w:jc w:val="center"/>
              <w:rPr>
                <w:sz w:val="24"/>
                <w:szCs w:val="24"/>
              </w:rPr>
            </w:pPr>
            <w:r w:rsidRPr="00C57B83">
              <w:rPr>
                <w:sz w:val="24"/>
                <w:szCs w:val="24"/>
              </w:rPr>
              <w:t>(15.96)</w:t>
            </w:r>
          </w:p>
        </w:tc>
        <w:tc>
          <w:tcPr>
            <w:tcW w:w="1964" w:type="dxa"/>
            <w:vAlign w:val="center"/>
          </w:tcPr>
          <w:p w:rsidR="000E20AE" w:rsidRPr="00C57B83" w:rsidRDefault="000E20AE" w:rsidP="00750CB4">
            <w:pPr>
              <w:spacing w:line="60" w:lineRule="atLeast"/>
              <w:jc w:val="center"/>
              <w:rPr>
                <w:sz w:val="24"/>
                <w:szCs w:val="24"/>
              </w:rPr>
            </w:pPr>
            <w:r w:rsidRPr="00C57B83">
              <w:rPr>
                <w:sz w:val="24"/>
                <w:szCs w:val="24"/>
              </w:rPr>
              <w:t>2,993</w:t>
            </w:r>
          </w:p>
          <w:p w:rsidR="000E20AE" w:rsidRPr="00C57B83" w:rsidRDefault="000E20AE" w:rsidP="00750CB4">
            <w:pPr>
              <w:spacing w:line="60" w:lineRule="atLeast"/>
              <w:jc w:val="center"/>
              <w:rPr>
                <w:sz w:val="24"/>
                <w:szCs w:val="24"/>
              </w:rPr>
            </w:pPr>
            <w:r w:rsidRPr="00C57B83">
              <w:rPr>
                <w:sz w:val="24"/>
                <w:szCs w:val="24"/>
              </w:rPr>
              <w:t>(15.70)</w:t>
            </w:r>
          </w:p>
        </w:tc>
      </w:tr>
      <w:tr w:rsidR="000E20AE" w:rsidRPr="00C57B83" w:rsidTr="001672DE">
        <w:trPr>
          <w:trHeight w:val="596"/>
        </w:trPr>
        <w:tc>
          <w:tcPr>
            <w:tcW w:w="1880" w:type="dxa"/>
            <w:vAlign w:val="center"/>
          </w:tcPr>
          <w:p w:rsidR="000E20AE" w:rsidRPr="00C57B83" w:rsidRDefault="000E20AE" w:rsidP="00750CB4">
            <w:pPr>
              <w:rPr>
                <w:b/>
                <w:sz w:val="24"/>
                <w:szCs w:val="24"/>
              </w:rPr>
            </w:pPr>
            <w:r w:rsidRPr="00C57B83">
              <w:rPr>
                <w:b/>
                <w:sz w:val="24"/>
                <w:szCs w:val="24"/>
              </w:rPr>
              <w:t>General Neglect</w:t>
            </w:r>
          </w:p>
        </w:tc>
        <w:tc>
          <w:tcPr>
            <w:tcW w:w="1790" w:type="dxa"/>
          </w:tcPr>
          <w:p w:rsidR="000E20AE" w:rsidRPr="00C57B83" w:rsidRDefault="000E20AE" w:rsidP="00750CB4">
            <w:pPr>
              <w:tabs>
                <w:tab w:val="left" w:pos="1291"/>
              </w:tabs>
              <w:jc w:val="center"/>
              <w:rPr>
                <w:sz w:val="24"/>
                <w:szCs w:val="24"/>
              </w:rPr>
            </w:pPr>
            <w:r w:rsidRPr="00C57B83">
              <w:rPr>
                <w:sz w:val="24"/>
                <w:szCs w:val="24"/>
              </w:rPr>
              <w:t>214,647</w:t>
            </w:r>
          </w:p>
          <w:p w:rsidR="000E20AE" w:rsidRPr="00C57B83" w:rsidRDefault="000E20AE" w:rsidP="00750CB4">
            <w:pPr>
              <w:tabs>
                <w:tab w:val="left" w:pos="1291"/>
              </w:tabs>
              <w:jc w:val="center"/>
              <w:rPr>
                <w:sz w:val="24"/>
                <w:szCs w:val="24"/>
              </w:rPr>
            </w:pPr>
            <w:r w:rsidRPr="00C57B83">
              <w:rPr>
                <w:sz w:val="24"/>
                <w:szCs w:val="24"/>
              </w:rPr>
              <w:t>(45.17)</w:t>
            </w:r>
          </w:p>
        </w:tc>
        <w:tc>
          <w:tcPr>
            <w:tcW w:w="1790" w:type="dxa"/>
          </w:tcPr>
          <w:p w:rsidR="000E20AE" w:rsidRPr="00C57B83" w:rsidRDefault="000E20AE" w:rsidP="00750CB4">
            <w:pPr>
              <w:tabs>
                <w:tab w:val="left" w:pos="1291"/>
              </w:tabs>
              <w:jc w:val="center"/>
              <w:rPr>
                <w:sz w:val="24"/>
                <w:szCs w:val="24"/>
              </w:rPr>
            </w:pPr>
            <w:r w:rsidRPr="00C57B83">
              <w:rPr>
                <w:sz w:val="24"/>
                <w:szCs w:val="24"/>
              </w:rPr>
              <w:t>223,082</w:t>
            </w:r>
          </w:p>
          <w:p w:rsidR="000E20AE" w:rsidRPr="00C57B83" w:rsidRDefault="000E20AE" w:rsidP="00750CB4">
            <w:pPr>
              <w:tabs>
                <w:tab w:val="left" w:pos="1291"/>
              </w:tabs>
              <w:jc w:val="center"/>
              <w:rPr>
                <w:sz w:val="24"/>
                <w:szCs w:val="24"/>
              </w:rPr>
            </w:pPr>
            <w:r w:rsidRPr="00C57B83">
              <w:rPr>
                <w:sz w:val="24"/>
                <w:szCs w:val="24"/>
              </w:rPr>
              <w:t>(44.40)</w:t>
            </w:r>
          </w:p>
        </w:tc>
        <w:tc>
          <w:tcPr>
            <w:tcW w:w="2164" w:type="dxa"/>
            <w:vAlign w:val="center"/>
          </w:tcPr>
          <w:p w:rsidR="000E20AE" w:rsidRPr="00C57B83" w:rsidRDefault="000E20AE" w:rsidP="00750CB4">
            <w:pPr>
              <w:spacing w:line="60" w:lineRule="atLeast"/>
              <w:jc w:val="center"/>
              <w:rPr>
                <w:sz w:val="24"/>
                <w:szCs w:val="24"/>
              </w:rPr>
            </w:pPr>
            <w:r w:rsidRPr="00C57B83">
              <w:rPr>
                <w:sz w:val="24"/>
                <w:szCs w:val="24"/>
              </w:rPr>
              <w:t>9,572</w:t>
            </w:r>
          </w:p>
          <w:p w:rsidR="000E20AE" w:rsidRPr="00C57B83" w:rsidRDefault="000E20AE" w:rsidP="00750CB4">
            <w:pPr>
              <w:spacing w:line="60" w:lineRule="atLeast"/>
              <w:jc w:val="center"/>
              <w:rPr>
                <w:sz w:val="24"/>
                <w:szCs w:val="24"/>
              </w:rPr>
            </w:pPr>
            <w:r w:rsidRPr="00C57B83">
              <w:rPr>
                <w:sz w:val="24"/>
                <w:szCs w:val="24"/>
              </w:rPr>
              <w:t>(49.95)</w:t>
            </w:r>
          </w:p>
        </w:tc>
        <w:tc>
          <w:tcPr>
            <w:tcW w:w="1964" w:type="dxa"/>
            <w:vAlign w:val="center"/>
          </w:tcPr>
          <w:p w:rsidR="000E20AE" w:rsidRPr="00C57B83" w:rsidRDefault="000E20AE" w:rsidP="00750CB4">
            <w:pPr>
              <w:spacing w:line="60" w:lineRule="atLeast"/>
              <w:jc w:val="center"/>
              <w:rPr>
                <w:sz w:val="24"/>
                <w:szCs w:val="24"/>
              </w:rPr>
            </w:pPr>
            <w:r w:rsidRPr="00C57B83">
              <w:rPr>
                <w:sz w:val="24"/>
                <w:szCs w:val="24"/>
              </w:rPr>
              <w:t>9,373</w:t>
            </w:r>
          </w:p>
          <w:p w:rsidR="000E20AE" w:rsidRPr="00C57B83" w:rsidRDefault="000E20AE" w:rsidP="00750CB4">
            <w:pPr>
              <w:spacing w:line="60" w:lineRule="atLeast"/>
              <w:jc w:val="center"/>
              <w:rPr>
                <w:sz w:val="24"/>
                <w:szCs w:val="24"/>
              </w:rPr>
            </w:pPr>
            <w:r w:rsidRPr="00C57B83">
              <w:rPr>
                <w:sz w:val="24"/>
                <w:szCs w:val="24"/>
              </w:rPr>
              <w:t>(49.15)</w:t>
            </w:r>
          </w:p>
        </w:tc>
      </w:tr>
      <w:tr w:rsidR="000E20AE" w:rsidRPr="00C57B83" w:rsidTr="001672DE">
        <w:trPr>
          <w:trHeight w:val="621"/>
        </w:trPr>
        <w:tc>
          <w:tcPr>
            <w:tcW w:w="1880" w:type="dxa"/>
            <w:vAlign w:val="center"/>
          </w:tcPr>
          <w:p w:rsidR="000E20AE" w:rsidRPr="00C57B83" w:rsidRDefault="000E20AE" w:rsidP="00750CB4">
            <w:pPr>
              <w:rPr>
                <w:b/>
                <w:sz w:val="24"/>
                <w:szCs w:val="24"/>
              </w:rPr>
            </w:pPr>
            <w:r w:rsidRPr="00C57B83">
              <w:rPr>
                <w:b/>
                <w:sz w:val="24"/>
                <w:szCs w:val="24"/>
              </w:rPr>
              <w:t>Emotional Abuse</w:t>
            </w:r>
          </w:p>
        </w:tc>
        <w:tc>
          <w:tcPr>
            <w:tcW w:w="1790" w:type="dxa"/>
          </w:tcPr>
          <w:p w:rsidR="000E20AE" w:rsidRPr="00C57B83" w:rsidRDefault="000E20AE" w:rsidP="00750CB4">
            <w:pPr>
              <w:tabs>
                <w:tab w:val="left" w:pos="1291"/>
              </w:tabs>
              <w:jc w:val="center"/>
              <w:rPr>
                <w:sz w:val="24"/>
                <w:szCs w:val="24"/>
              </w:rPr>
            </w:pPr>
            <w:r w:rsidRPr="00C57B83">
              <w:rPr>
                <w:sz w:val="24"/>
                <w:szCs w:val="24"/>
              </w:rPr>
              <w:t>44,611</w:t>
            </w:r>
          </w:p>
          <w:p w:rsidR="000E20AE" w:rsidRPr="00C57B83" w:rsidRDefault="000E20AE" w:rsidP="00750CB4">
            <w:pPr>
              <w:tabs>
                <w:tab w:val="left" w:pos="1291"/>
              </w:tabs>
              <w:jc w:val="center"/>
              <w:rPr>
                <w:sz w:val="24"/>
                <w:szCs w:val="24"/>
              </w:rPr>
            </w:pPr>
            <w:r w:rsidRPr="00C57B83">
              <w:rPr>
                <w:sz w:val="24"/>
                <w:szCs w:val="24"/>
              </w:rPr>
              <w:t>(9.39)</w:t>
            </w:r>
          </w:p>
        </w:tc>
        <w:tc>
          <w:tcPr>
            <w:tcW w:w="1790" w:type="dxa"/>
          </w:tcPr>
          <w:p w:rsidR="000E20AE" w:rsidRPr="00C57B83" w:rsidRDefault="000E20AE" w:rsidP="00750CB4">
            <w:pPr>
              <w:tabs>
                <w:tab w:val="left" w:pos="1291"/>
              </w:tabs>
              <w:jc w:val="center"/>
              <w:rPr>
                <w:sz w:val="24"/>
                <w:szCs w:val="24"/>
              </w:rPr>
            </w:pPr>
            <w:r w:rsidRPr="00C57B83">
              <w:rPr>
                <w:sz w:val="24"/>
                <w:szCs w:val="24"/>
              </w:rPr>
              <w:t>43,275</w:t>
            </w:r>
          </w:p>
          <w:p w:rsidR="000E20AE" w:rsidRPr="00C57B83" w:rsidRDefault="000E20AE" w:rsidP="00750CB4">
            <w:pPr>
              <w:tabs>
                <w:tab w:val="left" w:pos="1291"/>
              </w:tabs>
              <w:jc w:val="center"/>
              <w:rPr>
                <w:sz w:val="24"/>
                <w:szCs w:val="24"/>
              </w:rPr>
            </w:pPr>
            <w:r w:rsidRPr="00C57B83">
              <w:rPr>
                <w:sz w:val="24"/>
                <w:szCs w:val="24"/>
              </w:rPr>
              <w:t>(8.61)</w:t>
            </w:r>
          </w:p>
        </w:tc>
        <w:tc>
          <w:tcPr>
            <w:tcW w:w="2164" w:type="dxa"/>
            <w:vAlign w:val="center"/>
          </w:tcPr>
          <w:p w:rsidR="000E20AE" w:rsidRPr="00C57B83" w:rsidRDefault="000E20AE" w:rsidP="00750CB4">
            <w:pPr>
              <w:spacing w:line="60" w:lineRule="atLeast"/>
              <w:jc w:val="center"/>
              <w:rPr>
                <w:sz w:val="24"/>
                <w:szCs w:val="24"/>
              </w:rPr>
            </w:pPr>
            <w:r w:rsidRPr="00C57B83">
              <w:rPr>
                <w:sz w:val="24"/>
                <w:szCs w:val="24"/>
              </w:rPr>
              <w:t>1,405</w:t>
            </w:r>
          </w:p>
          <w:p w:rsidR="000E20AE" w:rsidRPr="00C57B83" w:rsidRDefault="000E20AE" w:rsidP="00750CB4">
            <w:pPr>
              <w:spacing w:line="60" w:lineRule="atLeast"/>
              <w:jc w:val="center"/>
              <w:rPr>
                <w:sz w:val="24"/>
                <w:szCs w:val="24"/>
              </w:rPr>
            </w:pPr>
            <w:r w:rsidRPr="00C57B83">
              <w:rPr>
                <w:sz w:val="24"/>
                <w:szCs w:val="24"/>
              </w:rPr>
              <w:t>(7.33)</w:t>
            </w:r>
          </w:p>
        </w:tc>
        <w:tc>
          <w:tcPr>
            <w:tcW w:w="1964" w:type="dxa"/>
            <w:vAlign w:val="center"/>
          </w:tcPr>
          <w:p w:rsidR="000E20AE" w:rsidRPr="00C57B83" w:rsidRDefault="000E20AE" w:rsidP="00750CB4">
            <w:pPr>
              <w:spacing w:line="60" w:lineRule="atLeast"/>
              <w:jc w:val="center"/>
              <w:rPr>
                <w:sz w:val="24"/>
                <w:szCs w:val="24"/>
              </w:rPr>
            </w:pPr>
            <w:r w:rsidRPr="00C57B83">
              <w:rPr>
                <w:sz w:val="24"/>
                <w:szCs w:val="24"/>
              </w:rPr>
              <w:t>1,284</w:t>
            </w:r>
          </w:p>
          <w:p w:rsidR="000E20AE" w:rsidRPr="00C57B83" w:rsidRDefault="000E20AE" w:rsidP="00750CB4">
            <w:pPr>
              <w:spacing w:line="60" w:lineRule="atLeast"/>
              <w:jc w:val="center"/>
              <w:rPr>
                <w:sz w:val="24"/>
                <w:szCs w:val="24"/>
              </w:rPr>
            </w:pPr>
            <w:r w:rsidRPr="00C57B83">
              <w:rPr>
                <w:sz w:val="24"/>
                <w:szCs w:val="24"/>
              </w:rPr>
              <w:t>(6.73)</w:t>
            </w:r>
          </w:p>
        </w:tc>
      </w:tr>
      <w:tr w:rsidR="000E20AE" w:rsidRPr="00C57B83" w:rsidTr="001672DE">
        <w:trPr>
          <w:trHeight w:val="621"/>
        </w:trPr>
        <w:tc>
          <w:tcPr>
            <w:tcW w:w="1880" w:type="dxa"/>
            <w:vAlign w:val="center"/>
          </w:tcPr>
          <w:p w:rsidR="000E20AE" w:rsidRPr="00C57B83" w:rsidRDefault="000E20AE" w:rsidP="00750CB4">
            <w:pPr>
              <w:rPr>
                <w:b/>
                <w:sz w:val="24"/>
                <w:szCs w:val="24"/>
              </w:rPr>
            </w:pPr>
            <w:r w:rsidRPr="00C57B83">
              <w:rPr>
                <w:b/>
                <w:sz w:val="24"/>
                <w:szCs w:val="24"/>
              </w:rPr>
              <w:t>At Risk Sibling</w:t>
            </w:r>
          </w:p>
        </w:tc>
        <w:tc>
          <w:tcPr>
            <w:tcW w:w="1790" w:type="dxa"/>
          </w:tcPr>
          <w:p w:rsidR="000E20AE" w:rsidRPr="00C57B83" w:rsidRDefault="000E20AE" w:rsidP="00750CB4">
            <w:pPr>
              <w:tabs>
                <w:tab w:val="left" w:pos="1291"/>
              </w:tabs>
              <w:jc w:val="center"/>
              <w:rPr>
                <w:sz w:val="24"/>
                <w:szCs w:val="24"/>
              </w:rPr>
            </w:pPr>
            <w:r w:rsidRPr="00C57B83">
              <w:rPr>
                <w:sz w:val="24"/>
                <w:szCs w:val="24"/>
              </w:rPr>
              <w:t>68,280</w:t>
            </w:r>
          </w:p>
          <w:p w:rsidR="000E20AE" w:rsidRPr="00C57B83" w:rsidRDefault="000E20AE" w:rsidP="00750CB4">
            <w:pPr>
              <w:tabs>
                <w:tab w:val="left" w:pos="1291"/>
              </w:tabs>
              <w:jc w:val="center"/>
              <w:rPr>
                <w:sz w:val="24"/>
                <w:szCs w:val="24"/>
              </w:rPr>
            </w:pPr>
            <w:r w:rsidRPr="00C57B83">
              <w:rPr>
                <w:sz w:val="24"/>
                <w:szCs w:val="24"/>
              </w:rPr>
              <w:t>(14.37)</w:t>
            </w:r>
          </w:p>
        </w:tc>
        <w:tc>
          <w:tcPr>
            <w:tcW w:w="1790" w:type="dxa"/>
          </w:tcPr>
          <w:p w:rsidR="000E20AE" w:rsidRPr="00C57B83" w:rsidRDefault="000E20AE" w:rsidP="00750CB4">
            <w:pPr>
              <w:tabs>
                <w:tab w:val="left" w:pos="1291"/>
              </w:tabs>
              <w:jc w:val="center"/>
              <w:rPr>
                <w:sz w:val="24"/>
                <w:szCs w:val="24"/>
              </w:rPr>
            </w:pPr>
            <w:r w:rsidRPr="00C57B83">
              <w:rPr>
                <w:sz w:val="24"/>
                <w:szCs w:val="24"/>
              </w:rPr>
              <w:t>68,865</w:t>
            </w:r>
          </w:p>
          <w:p w:rsidR="000E20AE" w:rsidRPr="00C57B83" w:rsidRDefault="000E20AE" w:rsidP="00750CB4">
            <w:pPr>
              <w:tabs>
                <w:tab w:val="left" w:pos="1291"/>
              </w:tabs>
              <w:jc w:val="center"/>
              <w:rPr>
                <w:sz w:val="24"/>
                <w:szCs w:val="24"/>
              </w:rPr>
            </w:pPr>
            <w:r w:rsidRPr="00C57B83">
              <w:rPr>
                <w:sz w:val="24"/>
                <w:szCs w:val="24"/>
              </w:rPr>
              <w:t>(13.71)</w:t>
            </w:r>
          </w:p>
        </w:tc>
        <w:tc>
          <w:tcPr>
            <w:tcW w:w="2164" w:type="dxa"/>
            <w:vAlign w:val="center"/>
          </w:tcPr>
          <w:p w:rsidR="000E20AE" w:rsidRPr="00C57B83" w:rsidRDefault="000E20AE" w:rsidP="00750CB4">
            <w:pPr>
              <w:spacing w:line="60" w:lineRule="atLeast"/>
              <w:jc w:val="center"/>
              <w:rPr>
                <w:sz w:val="24"/>
                <w:szCs w:val="24"/>
              </w:rPr>
            </w:pPr>
            <w:r w:rsidRPr="00C57B83">
              <w:rPr>
                <w:sz w:val="24"/>
                <w:szCs w:val="24"/>
              </w:rPr>
              <w:t>4,148</w:t>
            </w:r>
          </w:p>
          <w:p w:rsidR="000E20AE" w:rsidRPr="00C57B83" w:rsidRDefault="000E20AE" w:rsidP="00750CB4">
            <w:pPr>
              <w:spacing w:line="60" w:lineRule="atLeast"/>
              <w:jc w:val="center"/>
              <w:rPr>
                <w:sz w:val="24"/>
                <w:szCs w:val="24"/>
              </w:rPr>
            </w:pPr>
            <w:r w:rsidRPr="00C57B83">
              <w:rPr>
                <w:sz w:val="24"/>
                <w:szCs w:val="24"/>
              </w:rPr>
              <w:t>(21.65)</w:t>
            </w:r>
          </w:p>
        </w:tc>
        <w:tc>
          <w:tcPr>
            <w:tcW w:w="1964" w:type="dxa"/>
            <w:vAlign w:val="center"/>
          </w:tcPr>
          <w:p w:rsidR="000E20AE" w:rsidRPr="00C57B83" w:rsidRDefault="000E20AE" w:rsidP="00750CB4">
            <w:pPr>
              <w:spacing w:line="60" w:lineRule="atLeast"/>
              <w:jc w:val="center"/>
              <w:rPr>
                <w:sz w:val="24"/>
                <w:szCs w:val="24"/>
              </w:rPr>
            </w:pPr>
            <w:r w:rsidRPr="00C57B83">
              <w:rPr>
                <w:sz w:val="24"/>
                <w:szCs w:val="24"/>
              </w:rPr>
              <w:t>4,344</w:t>
            </w:r>
          </w:p>
          <w:p w:rsidR="000E20AE" w:rsidRPr="00C57B83" w:rsidRDefault="000E20AE" w:rsidP="00750CB4">
            <w:pPr>
              <w:spacing w:line="60" w:lineRule="atLeast"/>
              <w:jc w:val="center"/>
              <w:rPr>
                <w:sz w:val="24"/>
                <w:szCs w:val="24"/>
              </w:rPr>
            </w:pPr>
            <w:r w:rsidRPr="00C57B83">
              <w:rPr>
                <w:sz w:val="24"/>
                <w:szCs w:val="24"/>
              </w:rPr>
              <w:t>(22.78)</w:t>
            </w:r>
          </w:p>
        </w:tc>
      </w:tr>
      <w:tr w:rsidR="000E20AE" w:rsidRPr="00C57B83" w:rsidTr="001672DE">
        <w:trPr>
          <w:trHeight w:val="605"/>
        </w:trPr>
        <w:tc>
          <w:tcPr>
            <w:tcW w:w="1880" w:type="dxa"/>
            <w:vAlign w:val="center"/>
          </w:tcPr>
          <w:p w:rsidR="000E20AE" w:rsidRPr="00C57B83" w:rsidRDefault="000E20AE" w:rsidP="00750CB4">
            <w:pPr>
              <w:rPr>
                <w:b/>
                <w:sz w:val="24"/>
                <w:szCs w:val="24"/>
              </w:rPr>
            </w:pPr>
            <w:r w:rsidRPr="00C57B83">
              <w:rPr>
                <w:b/>
                <w:sz w:val="24"/>
                <w:szCs w:val="24"/>
              </w:rPr>
              <w:t>Other</w:t>
            </w:r>
          </w:p>
        </w:tc>
        <w:tc>
          <w:tcPr>
            <w:tcW w:w="1790" w:type="dxa"/>
          </w:tcPr>
          <w:p w:rsidR="000E20AE" w:rsidRPr="00C57B83" w:rsidRDefault="000E20AE" w:rsidP="00750CB4">
            <w:pPr>
              <w:tabs>
                <w:tab w:val="left" w:pos="1291"/>
              </w:tabs>
              <w:jc w:val="center"/>
              <w:rPr>
                <w:sz w:val="24"/>
                <w:szCs w:val="24"/>
              </w:rPr>
            </w:pPr>
            <w:r w:rsidRPr="00C57B83">
              <w:rPr>
                <w:sz w:val="24"/>
                <w:szCs w:val="24"/>
              </w:rPr>
              <w:t>15,540</w:t>
            </w:r>
          </w:p>
          <w:p w:rsidR="000E20AE" w:rsidRPr="00C57B83" w:rsidRDefault="000E20AE" w:rsidP="00750CB4">
            <w:pPr>
              <w:tabs>
                <w:tab w:val="left" w:pos="1291"/>
              </w:tabs>
              <w:jc w:val="center"/>
              <w:rPr>
                <w:sz w:val="24"/>
                <w:szCs w:val="24"/>
              </w:rPr>
            </w:pPr>
            <w:r w:rsidRPr="00C57B83">
              <w:rPr>
                <w:sz w:val="24"/>
                <w:szCs w:val="24"/>
              </w:rPr>
              <w:t>(3.27)</w:t>
            </w:r>
          </w:p>
        </w:tc>
        <w:tc>
          <w:tcPr>
            <w:tcW w:w="1790" w:type="dxa"/>
          </w:tcPr>
          <w:p w:rsidR="000E20AE" w:rsidRPr="00C57B83" w:rsidRDefault="000E20AE" w:rsidP="00750CB4">
            <w:pPr>
              <w:tabs>
                <w:tab w:val="left" w:pos="1291"/>
              </w:tabs>
              <w:jc w:val="center"/>
              <w:rPr>
                <w:sz w:val="24"/>
                <w:szCs w:val="24"/>
              </w:rPr>
            </w:pPr>
            <w:r w:rsidRPr="00C57B83">
              <w:rPr>
                <w:sz w:val="24"/>
                <w:szCs w:val="24"/>
              </w:rPr>
              <w:t>31,405</w:t>
            </w:r>
          </w:p>
          <w:p w:rsidR="000E20AE" w:rsidRPr="00C57B83" w:rsidRDefault="000E20AE" w:rsidP="00750CB4">
            <w:pPr>
              <w:tabs>
                <w:tab w:val="left" w:pos="1291"/>
              </w:tabs>
              <w:jc w:val="center"/>
              <w:rPr>
                <w:sz w:val="24"/>
                <w:szCs w:val="24"/>
              </w:rPr>
            </w:pPr>
            <w:r w:rsidRPr="00C57B83">
              <w:rPr>
                <w:sz w:val="24"/>
                <w:szCs w:val="24"/>
              </w:rPr>
              <w:t>(6.25)</w:t>
            </w:r>
          </w:p>
        </w:tc>
        <w:tc>
          <w:tcPr>
            <w:tcW w:w="2164" w:type="dxa"/>
            <w:vAlign w:val="center"/>
          </w:tcPr>
          <w:p w:rsidR="000E20AE" w:rsidRPr="00C57B83" w:rsidRDefault="000E20AE" w:rsidP="00750CB4">
            <w:pPr>
              <w:jc w:val="center"/>
              <w:rPr>
                <w:sz w:val="24"/>
                <w:szCs w:val="24"/>
              </w:rPr>
            </w:pPr>
            <w:r w:rsidRPr="00C57B83">
              <w:rPr>
                <w:sz w:val="24"/>
                <w:szCs w:val="24"/>
              </w:rPr>
              <w:t>101</w:t>
            </w:r>
          </w:p>
          <w:p w:rsidR="000E20AE" w:rsidRPr="00C57B83" w:rsidRDefault="000E20AE" w:rsidP="00750CB4">
            <w:pPr>
              <w:jc w:val="center"/>
              <w:rPr>
                <w:sz w:val="24"/>
                <w:szCs w:val="24"/>
              </w:rPr>
            </w:pPr>
            <w:r w:rsidRPr="00C57B83">
              <w:rPr>
                <w:sz w:val="24"/>
                <w:szCs w:val="24"/>
              </w:rPr>
              <w:t>(0.53)</w:t>
            </w:r>
          </w:p>
        </w:tc>
        <w:tc>
          <w:tcPr>
            <w:tcW w:w="1964" w:type="dxa"/>
            <w:vAlign w:val="center"/>
          </w:tcPr>
          <w:p w:rsidR="000E20AE" w:rsidRPr="00C57B83" w:rsidRDefault="000E20AE" w:rsidP="00750CB4">
            <w:pPr>
              <w:jc w:val="center"/>
              <w:rPr>
                <w:sz w:val="24"/>
                <w:szCs w:val="24"/>
              </w:rPr>
            </w:pPr>
            <w:r w:rsidRPr="00C57B83">
              <w:rPr>
                <w:sz w:val="24"/>
                <w:szCs w:val="24"/>
              </w:rPr>
              <w:t>74</w:t>
            </w:r>
          </w:p>
          <w:p w:rsidR="000E20AE" w:rsidRPr="00C57B83" w:rsidRDefault="000E20AE" w:rsidP="00750CB4">
            <w:pPr>
              <w:jc w:val="center"/>
              <w:rPr>
                <w:sz w:val="24"/>
                <w:szCs w:val="24"/>
              </w:rPr>
            </w:pPr>
            <w:r w:rsidRPr="00C57B83">
              <w:rPr>
                <w:sz w:val="24"/>
                <w:szCs w:val="24"/>
              </w:rPr>
              <w:t>(0.39)</w:t>
            </w:r>
          </w:p>
        </w:tc>
      </w:tr>
      <w:tr w:rsidR="000E20AE" w:rsidRPr="00C57B83" w:rsidTr="001672DE">
        <w:trPr>
          <w:trHeight w:val="621"/>
        </w:trPr>
        <w:tc>
          <w:tcPr>
            <w:tcW w:w="1880" w:type="dxa"/>
            <w:tcBorders>
              <w:bottom w:val="single" w:sz="4" w:space="0" w:color="auto"/>
            </w:tcBorders>
            <w:vAlign w:val="center"/>
          </w:tcPr>
          <w:p w:rsidR="000E20AE" w:rsidRPr="00C57B83" w:rsidRDefault="000E20AE" w:rsidP="00750CB4">
            <w:pPr>
              <w:rPr>
                <w:b/>
                <w:sz w:val="24"/>
                <w:szCs w:val="24"/>
              </w:rPr>
            </w:pPr>
            <w:r w:rsidRPr="00C57B83">
              <w:rPr>
                <w:b/>
                <w:sz w:val="24"/>
                <w:szCs w:val="24"/>
              </w:rPr>
              <w:t>Total</w:t>
            </w:r>
          </w:p>
        </w:tc>
        <w:tc>
          <w:tcPr>
            <w:tcW w:w="1790" w:type="dxa"/>
            <w:tcBorders>
              <w:bottom w:val="single" w:sz="4" w:space="0" w:color="auto"/>
            </w:tcBorders>
          </w:tcPr>
          <w:p w:rsidR="000E20AE" w:rsidRPr="00C57B83" w:rsidRDefault="000E20AE" w:rsidP="00750CB4">
            <w:pPr>
              <w:tabs>
                <w:tab w:val="left" w:pos="1291"/>
              </w:tabs>
              <w:jc w:val="center"/>
              <w:rPr>
                <w:sz w:val="24"/>
                <w:szCs w:val="24"/>
              </w:rPr>
            </w:pPr>
            <w:r w:rsidRPr="00C57B83">
              <w:rPr>
                <w:sz w:val="24"/>
                <w:szCs w:val="24"/>
              </w:rPr>
              <w:t>475,181</w:t>
            </w:r>
          </w:p>
          <w:p w:rsidR="000E20AE" w:rsidRPr="00C57B83" w:rsidRDefault="000E20AE" w:rsidP="00750CB4">
            <w:pPr>
              <w:tabs>
                <w:tab w:val="left" w:pos="1291"/>
              </w:tabs>
              <w:jc w:val="center"/>
              <w:rPr>
                <w:sz w:val="24"/>
                <w:szCs w:val="24"/>
              </w:rPr>
            </w:pPr>
            <w:r w:rsidRPr="00C57B83">
              <w:rPr>
                <w:sz w:val="24"/>
                <w:szCs w:val="24"/>
              </w:rPr>
              <w:t>(100)</w:t>
            </w:r>
          </w:p>
        </w:tc>
        <w:tc>
          <w:tcPr>
            <w:tcW w:w="1790" w:type="dxa"/>
            <w:tcBorders>
              <w:bottom w:val="single" w:sz="4" w:space="0" w:color="auto"/>
            </w:tcBorders>
          </w:tcPr>
          <w:p w:rsidR="000E20AE" w:rsidRPr="00C57B83" w:rsidRDefault="000E20AE" w:rsidP="00750CB4">
            <w:pPr>
              <w:tabs>
                <w:tab w:val="left" w:pos="1291"/>
              </w:tabs>
              <w:jc w:val="center"/>
              <w:rPr>
                <w:sz w:val="24"/>
                <w:szCs w:val="24"/>
              </w:rPr>
            </w:pPr>
            <w:r w:rsidRPr="00C57B83">
              <w:rPr>
                <w:sz w:val="24"/>
                <w:szCs w:val="24"/>
              </w:rPr>
              <w:t>502,423</w:t>
            </w:r>
          </w:p>
          <w:p w:rsidR="000E20AE" w:rsidRPr="00C57B83" w:rsidRDefault="000E20AE" w:rsidP="00750CB4">
            <w:pPr>
              <w:tabs>
                <w:tab w:val="left" w:pos="1291"/>
              </w:tabs>
              <w:jc w:val="center"/>
              <w:rPr>
                <w:sz w:val="24"/>
                <w:szCs w:val="24"/>
              </w:rPr>
            </w:pPr>
            <w:r w:rsidRPr="00C57B83">
              <w:rPr>
                <w:sz w:val="24"/>
                <w:szCs w:val="24"/>
              </w:rPr>
              <w:t>(100)</w:t>
            </w:r>
          </w:p>
        </w:tc>
        <w:tc>
          <w:tcPr>
            <w:tcW w:w="2164" w:type="dxa"/>
            <w:tcBorders>
              <w:bottom w:val="single" w:sz="4" w:space="0" w:color="auto"/>
            </w:tcBorders>
            <w:vAlign w:val="bottom"/>
          </w:tcPr>
          <w:p w:rsidR="000E20AE" w:rsidRPr="00C57B83" w:rsidRDefault="000E20AE" w:rsidP="00750CB4">
            <w:pPr>
              <w:jc w:val="center"/>
              <w:rPr>
                <w:sz w:val="24"/>
                <w:szCs w:val="24"/>
              </w:rPr>
            </w:pPr>
            <w:r w:rsidRPr="00C57B83">
              <w:rPr>
                <w:sz w:val="24"/>
                <w:szCs w:val="24"/>
              </w:rPr>
              <w:t>19,161</w:t>
            </w:r>
          </w:p>
          <w:p w:rsidR="000E20AE" w:rsidRPr="00C57B83" w:rsidRDefault="000E20AE" w:rsidP="00750CB4">
            <w:pPr>
              <w:jc w:val="center"/>
              <w:rPr>
                <w:sz w:val="24"/>
                <w:szCs w:val="24"/>
              </w:rPr>
            </w:pPr>
            <w:r w:rsidRPr="00C57B83">
              <w:rPr>
                <w:sz w:val="24"/>
                <w:szCs w:val="24"/>
              </w:rPr>
              <w:t>(100)</w:t>
            </w:r>
          </w:p>
        </w:tc>
        <w:tc>
          <w:tcPr>
            <w:tcW w:w="1964" w:type="dxa"/>
            <w:tcBorders>
              <w:bottom w:val="single" w:sz="4" w:space="0" w:color="auto"/>
            </w:tcBorders>
            <w:vAlign w:val="bottom"/>
          </w:tcPr>
          <w:p w:rsidR="000E20AE" w:rsidRPr="00C57B83" w:rsidRDefault="000E20AE" w:rsidP="00750CB4">
            <w:pPr>
              <w:jc w:val="center"/>
              <w:rPr>
                <w:sz w:val="24"/>
                <w:szCs w:val="24"/>
              </w:rPr>
            </w:pPr>
            <w:r w:rsidRPr="00C57B83">
              <w:rPr>
                <w:sz w:val="24"/>
                <w:szCs w:val="24"/>
              </w:rPr>
              <w:t>19,069</w:t>
            </w:r>
          </w:p>
          <w:p w:rsidR="000E20AE" w:rsidRPr="00C57B83" w:rsidRDefault="000E20AE" w:rsidP="00750CB4">
            <w:pPr>
              <w:jc w:val="center"/>
              <w:rPr>
                <w:sz w:val="24"/>
                <w:szCs w:val="24"/>
              </w:rPr>
            </w:pPr>
            <w:r w:rsidRPr="00C57B83">
              <w:rPr>
                <w:sz w:val="24"/>
                <w:szCs w:val="24"/>
              </w:rPr>
              <w:t>(100)</w:t>
            </w:r>
          </w:p>
        </w:tc>
      </w:tr>
    </w:tbl>
    <w:p w:rsidR="00382E10" w:rsidRPr="00C57B83" w:rsidRDefault="00382E10" w:rsidP="001672DE">
      <w:pPr>
        <w:tabs>
          <w:tab w:val="left" w:pos="720"/>
        </w:tabs>
        <w:spacing w:line="480" w:lineRule="auto"/>
        <w:ind w:left="-90"/>
        <w:rPr>
          <w:sz w:val="24"/>
          <w:szCs w:val="24"/>
        </w:rPr>
      </w:pPr>
      <w:r w:rsidRPr="00C57B83">
        <w:rPr>
          <w:sz w:val="24"/>
          <w:szCs w:val="24"/>
        </w:rPr>
        <w:t>Source: Needell et al., 2013</w:t>
      </w:r>
    </w:p>
    <w:p w:rsidR="00E21B22" w:rsidRDefault="003F65F8" w:rsidP="000444A6">
      <w:pPr>
        <w:spacing w:line="480" w:lineRule="auto"/>
        <w:ind w:firstLine="720"/>
        <w:rPr>
          <w:sz w:val="24"/>
          <w:szCs w:val="24"/>
        </w:rPr>
      </w:pPr>
      <w:r w:rsidRPr="00C57B83">
        <w:rPr>
          <w:sz w:val="24"/>
          <w:szCs w:val="24"/>
        </w:rPr>
        <w:t>Table 2</w:t>
      </w:r>
      <w:r w:rsidR="00382E10" w:rsidRPr="00C57B83">
        <w:rPr>
          <w:sz w:val="24"/>
          <w:szCs w:val="24"/>
        </w:rPr>
        <w:t xml:space="preserve"> illustrates that from </w:t>
      </w:r>
      <w:r w:rsidR="000E20AE" w:rsidRPr="00C57B83">
        <w:rPr>
          <w:sz w:val="24"/>
          <w:szCs w:val="24"/>
        </w:rPr>
        <w:t>2011 and 2012</w:t>
      </w:r>
      <w:r w:rsidR="00382E10" w:rsidRPr="00C57B83">
        <w:rPr>
          <w:sz w:val="24"/>
          <w:szCs w:val="24"/>
        </w:rPr>
        <w:t>, general neglect child maltreatment allegations were by far the most common type of child maltreatment allegation reported in the state of California</w:t>
      </w:r>
      <w:r w:rsidR="000E20AE" w:rsidRPr="00C57B83">
        <w:rPr>
          <w:sz w:val="24"/>
          <w:szCs w:val="24"/>
        </w:rPr>
        <w:t xml:space="preserve"> and Fresno County</w:t>
      </w:r>
      <w:r w:rsidR="00382E10" w:rsidRPr="00C57B83">
        <w:rPr>
          <w:sz w:val="24"/>
          <w:szCs w:val="24"/>
        </w:rPr>
        <w:t xml:space="preserve">, with approximately forty-five percent of all reported child </w:t>
      </w:r>
      <w:r w:rsidR="00382E10" w:rsidRPr="00C57B83">
        <w:rPr>
          <w:sz w:val="24"/>
          <w:szCs w:val="24"/>
        </w:rPr>
        <w:lastRenderedPageBreak/>
        <w:t>maltreatment allegations falling under this category. Physical abuse child maltreatment allegations were the second most common reported child maltreatment allegations in the state of California</w:t>
      </w:r>
      <w:r w:rsidR="000E20AE" w:rsidRPr="00C57B83">
        <w:rPr>
          <w:sz w:val="24"/>
          <w:szCs w:val="24"/>
        </w:rPr>
        <w:t xml:space="preserve"> and Fresno County</w:t>
      </w:r>
      <w:r w:rsidR="00382E10" w:rsidRPr="00C57B83">
        <w:rPr>
          <w:sz w:val="24"/>
          <w:szCs w:val="24"/>
        </w:rPr>
        <w:t xml:space="preserve"> from </w:t>
      </w:r>
      <w:r w:rsidR="000E20AE" w:rsidRPr="00C57B83">
        <w:rPr>
          <w:sz w:val="24"/>
          <w:szCs w:val="24"/>
        </w:rPr>
        <w:t>2011 and 2012</w:t>
      </w:r>
      <w:r w:rsidR="00382E10" w:rsidRPr="00C57B83">
        <w:rPr>
          <w:sz w:val="24"/>
          <w:szCs w:val="24"/>
        </w:rPr>
        <w:t>, with approximately nineteen percent of all reported child maltreatment allegations categorized in this department.</w:t>
      </w:r>
    </w:p>
    <w:p w:rsidR="00A40838" w:rsidRDefault="000444A6" w:rsidP="00E21B22">
      <w:pPr>
        <w:spacing w:line="480" w:lineRule="auto"/>
        <w:rPr>
          <w:sz w:val="24"/>
          <w:szCs w:val="24"/>
        </w:rPr>
      </w:pPr>
      <w:r>
        <w:rPr>
          <w:sz w:val="24"/>
          <w:szCs w:val="24"/>
        </w:rPr>
        <w:t>Table 3</w:t>
      </w:r>
      <w:r w:rsidR="00E21B22" w:rsidRPr="006B085A">
        <w:rPr>
          <w:sz w:val="24"/>
          <w:szCs w:val="24"/>
        </w:rPr>
        <w:t xml:space="preserve"> represents the total number of substantiated child maltreatment referrals per zip code in</w:t>
      </w:r>
      <w:r w:rsidR="00A40838">
        <w:rPr>
          <w:sz w:val="24"/>
          <w:szCs w:val="24"/>
        </w:rPr>
        <w:t xml:space="preserve"> 2013 in Fresno County</w:t>
      </w:r>
    </w:p>
    <w:tbl>
      <w:tblPr>
        <w:tblpPr w:leftFromText="180" w:rightFromText="180" w:vertAnchor="text" w:horzAnchor="margin" w:tblpY="475"/>
        <w:tblW w:w="0" w:type="auto"/>
        <w:tblBorders>
          <w:bottom w:val="single" w:sz="4" w:space="0" w:color="auto"/>
        </w:tblBorders>
        <w:tblLook w:val="04A0" w:firstRow="1" w:lastRow="0" w:firstColumn="1" w:lastColumn="0" w:noHBand="0" w:noVBand="1"/>
      </w:tblPr>
      <w:tblGrid>
        <w:gridCol w:w="3884"/>
        <w:gridCol w:w="3885"/>
      </w:tblGrid>
      <w:tr w:rsidR="00A40838" w:rsidRPr="006B085A" w:rsidTr="00A40838">
        <w:trPr>
          <w:trHeight w:val="422"/>
        </w:trPr>
        <w:tc>
          <w:tcPr>
            <w:tcW w:w="7769" w:type="dxa"/>
            <w:gridSpan w:val="2"/>
          </w:tcPr>
          <w:p w:rsidR="00A40838" w:rsidRPr="006B085A" w:rsidRDefault="000444A6" w:rsidP="00A40838">
            <w:pPr>
              <w:spacing w:line="360" w:lineRule="auto"/>
              <w:rPr>
                <w:b/>
                <w:sz w:val="24"/>
                <w:szCs w:val="24"/>
              </w:rPr>
            </w:pPr>
            <w:r>
              <w:rPr>
                <w:b/>
                <w:sz w:val="24"/>
                <w:szCs w:val="24"/>
              </w:rPr>
              <w:t>Table 3</w:t>
            </w:r>
          </w:p>
          <w:p w:rsidR="00A40838" w:rsidRPr="006B085A" w:rsidRDefault="00A40838" w:rsidP="00A40838">
            <w:pPr>
              <w:rPr>
                <w:b/>
                <w:sz w:val="8"/>
                <w:szCs w:val="24"/>
              </w:rPr>
            </w:pPr>
          </w:p>
          <w:p w:rsidR="00A40838" w:rsidRPr="006B085A" w:rsidRDefault="00A40838" w:rsidP="00A40838">
            <w:pPr>
              <w:rPr>
                <w:b/>
                <w:sz w:val="24"/>
                <w:szCs w:val="24"/>
              </w:rPr>
            </w:pPr>
            <w:r w:rsidRPr="006B085A">
              <w:rPr>
                <w:b/>
                <w:sz w:val="24"/>
                <w:szCs w:val="24"/>
              </w:rPr>
              <w:t>Substantiated Child Maltreatment Referrals by Zip Code</w:t>
            </w:r>
          </w:p>
        </w:tc>
      </w:tr>
      <w:tr w:rsidR="00A40838" w:rsidRPr="006B085A" w:rsidTr="00A40838">
        <w:trPr>
          <w:trHeight w:val="237"/>
        </w:trPr>
        <w:tc>
          <w:tcPr>
            <w:tcW w:w="3884" w:type="dxa"/>
            <w:tcBorders>
              <w:top w:val="single" w:sz="4" w:space="0" w:color="auto"/>
              <w:bottom w:val="single" w:sz="4" w:space="0" w:color="auto"/>
            </w:tcBorders>
          </w:tcPr>
          <w:p w:rsidR="00A40838" w:rsidRPr="006B085A" w:rsidRDefault="00A40838" w:rsidP="00A40838">
            <w:pPr>
              <w:spacing w:line="360" w:lineRule="auto"/>
              <w:rPr>
                <w:sz w:val="24"/>
                <w:szCs w:val="24"/>
              </w:rPr>
            </w:pPr>
          </w:p>
        </w:tc>
        <w:tc>
          <w:tcPr>
            <w:tcW w:w="3885" w:type="dxa"/>
            <w:tcBorders>
              <w:top w:val="single" w:sz="4" w:space="0" w:color="auto"/>
              <w:bottom w:val="single" w:sz="4" w:space="0" w:color="auto"/>
            </w:tcBorders>
            <w:vAlign w:val="bottom"/>
          </w:tcPr>
          <w:p w:rsidR="00A40838" w:rsidRPr="006B085A" w:rsidRDefault="00A40838" w:rsidP="00A40838">
            <w:pPr>
              <w:jc w:val="center"/>
              <w:rPr>
                <w:b/>
                <w:sz w:val="24"/>
                <w:szCs w:val="24"/>
              </w:rPr>
            </w:pPr>
            <w:r w:rsidRPr="006B085A">
              <w:rPr>
                <w:b/>
                <w:sz w:val="24"/>
                <w:szCs w:val="24"/>
              </w:rPr>
              <w:t>Total Substantiated Referrals</w:t>
            </w:r>
          </w:p>
        </w:tc>
      </w:tr>
      <w:tr w:rsidR="00A40838" w:rsidRPr="006B085A" w:rsidTr="00A40838">
        <w:trPr>
          <w:trHeight w:val="246"/>
        </w:trPr>
        <w:tc>
          <w:tcPr>
            <w:tcW w:w="3884" w:type="dxa"/>
            <w:tcBorders>
              <w:top w:val="single" w:sz="4" w:space="0" w:color="auto"/>
            </w:tcBorders>
          </w:tcPr>
          <w:p w:rsidR="00A40838" w:rsidRPr="006B085A" w:rsidRDefault="00A40838" w:rsidP="00A40838">
            <w:pPr>
              <w:spacing w:line="360" w:lineRule="auto"/>
              <w:rPr>
                <w:sz w:val="24"/>
                <w:szCs w:val="24"/>
              </w:rPr>
            </w:pPr>
            <w:r w:rsidRPr="006B085A">
              <w:rPr>
                <w:sz w:val="24"/>
                <w:szCs w:val="24"/>
              </w:rPr>
              <w:t>93706</w:t>
            </w:r>
          </w:p>
        </w:tc>
        <w:tc>
          <w:tcPr>
            <w:tcW w:w="3885" w:type="dxa"/>
            <w:tcBorders>
              <w:top w:val="single" w:sz="4" w:space="0" w:color="auto"/>
            </w:tcBorders>
          </w:tcPr>
          <w:p w:rsidR="00A40838" w:rsidRPr="006B085A" w:rsidRDefault="00A40838" w:rsidP="00A40838">
            <w:pPr>
              <w:spacing w:line="360" w:lineRule="auto"/>
              <w:jc w:val="center"/>
              <w:rPr>
                <w:sz w:val="24"/>
                <w:szCs w:val="24"/>
              </w:rPr>
            </w:pPr>
            <w:r w:rsidRPr="006B085A">
              <w:rPr>
                <w:sz w:val="24"/>
                <w:szCs w:val="24"/>
              </w:rPr>
              <w:t>172</w:t>
            </w:r>
          </w:p>
        </w:tc>
      </w:tr>
      <w:tr w:rsidR="00A40838" w:rsidRPr="006B085A" w:rsidTr="00A40838">
        <w:trPr>
          <w:trHeight w:val="237"/>
        </w:trPr>
        <w:tc>
          <w:tcPr>
            <w:tcW w:w="3884" w:type="dxa"/>
          </w:tcPr>
          <w:p w:rsidR="00A40838" w:rsidRPr="006B085A" w:rsidRDefault="00A40838" w:rsidP="00A40838">
            <w:pPr>
              <w:spacing w:line="360" w:lineRule="auto"/>
              <w:rPr>
                <w:sz w:val="24"/>
                <w:szCs w:val="24"/>
              </w:rPr>
            </w:pPr>
            <w:r w:rsidRPr="006B085A">
              <w:rPr>
                <w:sz w:val="24"/>
                <w:szCs w:val="24"/>
              </w:rPr>
              <w:t>93702</w:t>
            </w:r>
          </w:p>
        </w:tc>
        <w:tc>
          <w:tcPr>
            <w:tcW w:w="3885" w:type="dxa"/>
          </w:tcPr>
          <w:p w:rsidR="00A40838" w:rsidRPr="006B085A" w:rsidRDefault="00A40838" w:rsidP="00A40838">
            <w:pPr>
              <w:spacing w:line="360" w:lineRule="auto"/>
              <w:jc w:val="center"/>
              <w:rPr>
                <w:sz w:val="24"/>
                <w:szCs w:val="24"/>
              </w:rPr>
            </w:pPr>
            <w:r w:rsidRPr="006B085A">
              <w:rPr>
                <w:sz w:val="24"/>
                <w:szCs w:val="24"/>
              </w:rPr>
              <w:t>255</w:t>
            </w:r>
          </w:p>
        </w:tc>
      </w:tr>
      <w:tr w:rsidR="00A40838" w:rsidRPr="006B085A" w:rsidTr="00A40838">
        <w:trPr>
          <w:trHeight w:val="231"/>
        </w:trPr>
        <w:tc>
          <w:tcPr>
            <w:tcW w:w="3884" w:type="dxa"/>
          </w:tcPr>
          <w:p w:rsidR="00A40838" w:rsidRPr="006B085A" w:rsidRDefault="00A40838" w:rsidP="00A40838">
            <w:pPr>
              <w:rPr>
                <w:sz w:val="24"/>
                <w:szCs w:val="24"/>
              </w:rPr>
            </w:pPr>
            <w:r w:rsidRPr="006B085A">
              <w:rPr>
                <w:sz w:val="24"/>
                <w:szCs w:val="24"/>
              </w:rPr>
              <w:t>93720</w:t>
            </w:r>
          </w:p>
        </w:tc>
        <w:tc>
          <w:tcPr>
            <w:tcW w:w="3885" w:type="dxa"/>
          </w:tcPr>
          <w:p w:rsidR="00A40838" w:rsidRPr="006B085A" w:rsidRDefault="00A40838" w:rsidP="00A40838">
            <w:pPr>
              <w:jc w:val="center"/>
              <w:rPr>
                <w:sz w:val="24"/>
                <w:szCs w:val="24"/>
              </w:rPr>
            </w:pPr>
            <w:r w:rsidRPr="006B085A">
              <w:rPr>
                <w:sz w:val="24"/>
                <w:szCs w:val="24"/>
              </w:rPr>
              <w:t>36</w:t>
            </w:r>
          </w:p>
        </w:tc>
      </w:tr>
      <w:tr w:rsidR="00A40838" w:rsidRPr="006B085A" w:rsidTr="00A40838">
        <w:trPr>
          <w:trHeight w:val="378"/>
        </w:trPr>
        <w:tc>
          <w:tcPr>
            <w:tcW w:w="3884" w:type="dxa"/>
            <w:vAlign w:val="bottom"/>
          </w:tcPr>
          <w:p w:rsidR="00A40838" w:rsidRPr="006B085A" w:rsidRDefault="00A40838" w:rsidP="00A40838">
            <w:pPr>
              <w:rPr>
                <w:sz w:val="24"/>
                <w:szCs w:val="24"/>
              </w:rPr>
            </w:pPr>
            <w:r w:rsidRPr="006B085A">
              <w:rPr>
                <w:sz w:val="24"/>
                <w:szCs w:val="24"/>
              </w:rPr>
              <w:t>93611</w:t>
            </w:r>
          </w:p>
        </w:tc>
        <w:tc>
          <w:tcPr>
            <w:tcW w:w="3885" w:type="dxa"/>
            <w:vAlign w:val="bottom"/>
          </w:tcPr>
          <w:p w:rsidR="00A40838" w:rsidRPr="006B085A" w:rsidRDefault="00A40838" w:rsidP="00A40838">
            <w:pPr>
              <w:jc w:val="center"/>
              <w:rPr>
                <w:sz w:val="24"/>
                <w:szCs w:val="24"/>
              </w:rPr>
            </w:pPr>
            <w:r w:rsidRPr="006B085A">
              <w:rPr>
                <w:sz w:val="24"/>
                <w:szCs w:val="24"/>
              </w:rPr>
              <w:t>48</w:t>
            </w:r>
          </w:p>
        </w:tc>
      </w:tr>
    </w:tbl>
    <w:p w:rsidR="00221263" w:rsidRDefault="00221263" w:rsidP="00E21B22">
      <w:pPr>
        <w:spacing w:line="480" w:lineRule="auto"/>
        <w:rPr>
          <w:sz w:val="24"/>
          <w:szCs w:val="24"/>
        </w:rPr>
      </w:pPr>
    </w:p>
    <w:p w:rsidR="00221263" w:rsidRDefault="00221263" w:rsidP="00E21B22">
      <w:pPr>
        <w:spacing w:line="480" w:lineRule="auto"/>
        <w:rPr>
          <w:sz w:val="24"/>
          <w:szCs w:val="24"/>
        </w:rPr>
      </w:pPr>
    </w:p>
    <w:p w:rsidR="00221263" w:rsidRDefault="00221263" w:rsidP="00E21B22">
      <w:pPr>
        <w:spacing w:line="480" w:lineRule="auto"/>
        <w:rPr>
          <w:sz w:val="24"/>
          <w:szCs w:val="24"/>
        </w:rPr>
      </w:pPr>
    </w:p>
    <w:p w:rsidR="00221263" w:rsidRDefault="00221263" w:rsidP="00E21B22">
      <w:pPr>
        <w:spacing w:line="480" w:lineRule="auto"/>
        <w:rPr>
          <w:sz w:val="24"/>
          <w:szCs w:val="24"/>
        </w:rPr>
      </w:pPr>
    </w:p>
    <w:p w:rsidR="00A40838" w:rsidRDefault="00A40838" w:rsidP="00E21B22">
      <w:pPr>
        <w:spacing w:line="480" w:lineRule="auto"/>
        <w:rPr>
          <w:sz w:val="24"/>
          <w:szCs w:val="24"/>
        </w:rPr>
      </w:pPr>
    </w:p>
    <w:p w:rsidR="00A40838" w:rsidRDefault="00A40838" w:rsidP="00E21B22">
      <w:pPr>
        <w:spacing w:line="480" w:lineRule="auto"/>
        <w:rPr>
          <w:sz w:val="24"/>
          <w:szCs w:val="24"/>
        </w:rPr>
      </w:pPr>
    </w:p>
    <w:p w:rsidR="00E21B22" w:rsidRPr="006B085A" w:rsidRDefault="00E21B22" w:rsidP="00E21B22">
      <w:pPr>
        <w:spacing w:line="480" w:lineRule="auto"/>
        <w:rPr>
          <w:sz w:val="24"/>
          <w:szCs w:val="24"/>
        </w:rPr>
      </w:pPr>
      <w:r w:rsidRPr="006B085A">
        <w:rPr>
          <w:sz w:val="24"/>
          <w:szCs w:val="24"/>
        </w:rPr>
        <w:t>Source: Administrative County Data</w:t>
      </w:r>
    </w:p>
    <w:p w:rsidR="00E35C3B" w:rsidRDefault="000444A6" w:rsidP="00E21B22">
      <w:pPr>
        <w:spacing w:line="480" w:lineRule="auto"/>
        <w:ind w:firstLine="720"/>
        <w:rPr>
          <w:sz w:val="24"/>
          <w:szCs w:val="24"/>
        </w:rPr>
      </w:pPr>
      <w:r>
        <w:rPr>
          <w:sz w:val="24"/>
          <w:szCs w:val="24"/>
        </w:rPr>
        <w:t>Table 3</w:t>
      </w:r>
      <w:r w:rsidR="00E21B22" w:rsidRPr="006B085A">
        <w:rPr>
          <w:sz w:val="24"/>
          <w:szCs w:val="24"/>
        </w:rPr>
        <w:t xml:space="preserve"> demonstrates that communities with zip code 93702 had the highest number of substantiated child maltreatment referrals, while communities with zip code 93720 had the least substantiated child maltreatment referrals out of the four zip codes in 2013.</w:t>
      </w:r>
    </w:p>
    <w:p w:rsidR="00F04674" w:rsidRPr="00026CD9" w:rsidRDefault="00F04674" w:rsidP="00F04674">
      <w:pPr>
        <w:spacing w:line="480" w:lineRule="auto"/>
        <w:rPr>
          <w:i/>
          <w:sz w:val="24"/>
          <w:szCs w:val="24"/>
        </w:rPr>
      </w:pPr>
      <w:r w:rsidRPr="00026CD9">
        <w:rPr>
          <w:i/>
          <w:sz w:val="24"/>
          <w:szCs w:val="24"/>
        </w:rPr>
        <w:t>Air Quality</w:t>
      </w:r>
    </w:p>
    <w:p w:rsidR="00F04674" w:rsidRPr="00026CD9" w:rsidRDefault="00F04674" w:rsidP="00974919">
      <w:pPr>
        <w:spacing w:line="480" w:lineRule="auto"/>
        <w:ind w:firstLine="720"/>
        <w:rPr>
          <w:sz w:val="24"/>
          <w:szCs w:val="24"/>
        </w:rPr>
      </w:pPr>
      <w:r w:rsidRPr="00026CD9">
        <w:rPr>
          <w:sz w:val="24"/>
          <w:szCs w:val="24"/>
        </w:rPr>
        <w:t xml:space="preserve">The researcher utilized The California Environmental Protection Agency publicly available data to determine if there was a possible relationship between environmental factors such as one’s air quality and child maltreatment rates in Fresno County. The following tables compare the total number of unhealthy particular matter smaller than 2.5 micrometers (PM 2.5) between the State of California and Fresno County. The researcher is attempting to demonstrate the possible role air quality can play in child maltreatment allegations by illustrating the total </w:t>
      </w:r>
      <w:r w:rsidRPr="00026CD9">
        <w:rPr>
          <w:sz w:val="24"/>
          <w:szCs w:val="24"/>
        </w:rPr>
        <w:lastRenderedPageBreak/>
        <w:t xml:space="preserve">number of days in which unhealthy particular matters smaller than 2.5 micrometers were present in Fresno County. </w:t>
      </w:r>
    </w:p>
    <w:p w:rsidR="00CF6CB3" w:rsidRPr="00026CD9" w:rsidRDefault="000444A6" w:rsidP="005840A7">
      <w:pPr>
        <w:spacing w:line="480" w:lineRule="auto"/>
        <w:ind w:firstLine="720"/>
        <w:rPr>
          <w:sz w:val="24"/>
          <w:szCs w:val="24"/>
        </w:rPr>
      </w:pPr>
      <w:r>
        <w:rPr>
          <w:sz w:val="24"/>
          <w:szCs w:val="24"/>
        </w:rPr>
        <w:t>Table 4</w:t>
      </w:r>
      <w:r w:rsidR="00F04674" w:rsidRPr="00026CD9">
        <w:rPr>
          <w:sz w:val="24"/>
          <w:szCs w:val="24"/>
        </w:rPr>
        <w:t xml:space="preserve"> represents the number of days in a year with unhealthy levels of particular matter smaller than 2.5 micrometers (PM 2.5) collected at monitoring sites in Fresno County and the State of California from 2007 to 2012.</w:t>
      </w:r>
    </w:p>
    <w:tbl>
      <w:tblPr>
        <w:tblpPr w:leftFromText="180" w:rightFromText="180" w:vertAnchor="text" w:horzAnchor="margin" w:tblpY="86"/>
        <w:tblW w:w="0" w:type="auto"/>
        <w:tblBorders>
          <w:bottom w:val="single" w:sz="4" w:space="0" w:color="auto"/>
        </w:tblBorders>
        <w:tblLook w:val="04A0" w:firstRow="1" w:lastRow="0" w:firstColumn="1" w:lastColumn="0" w:noHBand="0" w:noVBand="1"/>
      </w:tblPr>
      <w:tblGrid>
        <w:gridCol w:w="2808"/>
        <w:gridCol w:w="900"/>
        <w:gridCol w:w="900"/>
        <w:gridCol w:w="990"/>
        <w:gridCol w:w="990"/>
        <w:gridCol w:w="900"/>
        <w:gridCol w:w="895"/>
      </w:tblGrid>
      <w:tr w:rsidR="00CF6CB3" w:rsidRPr="00026CD9" w:rsidTr="00133200">
        <w:trPr>
          <w:trHeight w:val="720"/>
        </w:trPr>
        <w:tc>
          <w:tcPr>
            <w:tcW w:w="8383" w:type="dxa"/>
            <w:gridSpan w:val="7"/>
            <w:tcBorders>
              <w:bottom w:val="single" w:sz="4" w:space="0" w:color="auto"/>
            </w:tcBorders>
          </w:tcPr>
          <w:p w:rsidR="00CF6CB3" w:rsidRPr="00026CD9" w:rsidRDefault="000444A6" w:rsidP="00133200">
            <w:pPr>
              <w:spacing w:line="360" w:lineRule="auto"/>
              <w:rPr>
                <w:b/>
                <w:sz w:val="24"/>
                <w:szCs w:val="24"/>
              </w:rPr>
            </w:pPr>
            <w:r>
              <w:rPr>
                <w:b/>
                <w:sz w:val="24"/>
                <w:szCs w:val="24"/>
              </w:rPr>
              <w:t>Table 4</w:t>
            </w:r>
          </w:p>
          <w:p w:rsidR="00CF6CB3" w:rsidRPr="00026CD9" w:rsidRDefault="00CF6CB3" w:rsidP="00133200">
            <w:pPr>
              <w:rPr>
                <w:b/>
                <w:sz w:val="24"/>
                <w:szCs w:val="24"/>
              </w:rPr>
            </w:pPr>
            <w:r w:rsidRPr="00026CD9">
              <w:rPr>
                <w:b/>
                <w:sz w:val="24"/>
                <w:szCs w:val="24"/>
              </w:rPr>
              <w:t>Number of Unhealthy days with PM 2.5 for Fresno County</w:t>
            </w:r>
          </w:p>
        </w:tc>
      </w:tr>
      <w:tr w:rsidR="00CF6CB3" w:rsidRPr="00026CD9" w:rsidTr="00133200">
        <w:tc>
          <w:tcPr>
            <w:tcW w:w="2808" w:type="dxa"/>
            <w:tcBorders>
              <w:top w:val="single" w:sz="4" w:space="0" w:color="auto"/>
              <w:bottom w:val="single" w:sz="4" w:space="0" w:color="auto"/>
            </w:tcBorders>
          </w:tcPr>
          <w:p w:rsidR="00CF6CB3" w:rsidRPr="00026CD9" w:rsidRDefault="00CF6CB3" w:rsidP="00133200">
            <w:pPr>
              <w:spacing w:line="360" w:lineRule="auto"/>
              <w:rPr>
                <w:sz w:val="24"/>
                <w:szCs w:val="24"/>
              </w:rPr>
            </w:pPr>
          </w:p>
        </w:tc>
        <w:tc>
          <w:tcPr>
            <w:tcW w:w="900" w:type="dxa"/>
            <w:tcBorders>
              <w:top w:val="single" w:sz="4" w:space="0" w:color="auto"/>
              <w:bottom w:val="single" w:sz="4" w:space="0" w:color="auto"/>
            </w:tcBorders>
          </w:tcPr>
          <w:p w:rsidR="00CF6CB3" w:rsidRPr="00026CD9" w:rsidRDefault="00CF6CB3" w:rsidP="00133200">
            <w:pPr>
              <w:spacing w:line="360" w:lineRule="auto"/>
              <w:jc w:val="center"/>
              <w:rPr>
                <w:b/>
                <w:sz w:val="24"/>
                <w:szCs w:val="24"/>
              </w:rPr>
            </w:pPr>
            <w:r w:rsidRPr="00026CD9">
              <w:rPr>
                <w:b/>
                <w:sz w:val="24"/>
                <w:szCs w:val="24"/>
              </w:rPr>
              <w:t>2007</w:t>
            </w:r>
          </w:p>
        </w:tc>
        <w:tc>
          <w:tcPr>
            <w:tcW w:w="900" w:type="dxa"/>
            <w:tcBorders>
              <w:top w:val="single" w:sz="4" w:space="0" w:color="auto"/>
              <w:bottom w:val="single" w:sz="4" w:space="0" w:color="auto"/>
            </w:tcBorders>
          </w:tcPr>
          <w:p w:rsidR="00CF6CB3" w:rsidRPr="00026CD9" w:rsidRDefault="00CF6CB3" w:rsidP="00133200">
            <w:pPr>
              <w:spacing w:line="360" w:lineRule="auto"/>
              <w:jc w:val="center"/>
              <w:rPr>
                <w:b/>
                <w:sz w:val="24"/>
                <w:szCs w:val="24"/>
              </w:rPr>
            </w:pPr>
            <w:r w:rsidRPr="00026CD9">
              <w:rPr>
                <w:b/>
                <w:sz w:val="24"/>
                <w:szCs w:val="24"/>
              </w:rPr>
              <w:t>2008</w:t>
            </w:r>
          </w:p>
        </w:tc>
        <w:tc>
          <w:tcPr>
            <w:tcW w:w="990" w:type="dxa"/>
            <w:tcBorders>
              <w:top w:val="single" w:sz="4" w:space="0" w:color="auto"/>
              <w:bottom w:val="single" w:sz="4" w:space="0" w:color="auto"/>
            </w:tcBorders>
          </w:tcPr>
          <w:p w:rsidR="00CF6CB3" w:rsidRPr="00026CD9" w:rsidRDefault="00CF6CB3" w:rsidP="00133200">
            <w:pPr>
              <w:spacing w:line="360" w:lineRule="auto"/>
              <w:jc w:val="center"/>
              <w:rPr>
                <w:b/>
                <w:sz w:val="24"/>
                <w:szCs w:val="24"/>
              </w:rPr>
            </w:pPr>
            <w:r w:rsidRPr="00026CD9">
              <w:rPr>
                <w:b/>
                <w:sz w:val="24"/>
                <w:szCs w:val="24"/>
              </w:rPr>
              <w:t>2009</w:t>
            </w:r>
          </w:p>
        </w:tc>
        <w:tc>
          <w:tcPr>
            <w:tcW w:w="990" w:type="dxa"/>
            <w:tcBorders>
              <w:top w:val="single" w:sz="4" w:space="0" w:color="auto"/>
              <w:bottom w:val="single" w:sz="4" w:space="0" w:color="auto"/>
            </w:tcBorders>
          </w:tcPr>
          <w:p w:rsidR="00CF6CB3" w:rsidRPr="00026CD9" w:rsidRDefault="00CF6CB3" w:rsidP="00133200">
            <w:pPr>
              <w:spacing w:line="360" w:lineRule="auto"/>
              <w:jc w:val="center"/>
              <w:rPr>
                <w:b/>
                <w:sz w:val="24"/>
                <w:szCs w:val="24"/>
              </w:rPr>
            </w:pPr>
            <w:r w:rsidRPr="00026CD9">
              <w:rPr>
                <w:b/>
                <w:sz w:val="24"/>
                <w:szCs w:val="24"/>
              </w:rPr>
              <w:t>2010</w:t>
            </w:r>
          </w:p>
        </w:tc>
        <w:tc>
          <w:tcPr>
            <w:tcW w:w="900" w:type="dxa"/>
            <w:tcBorders>
              <w:top w:val="single" w:sz="4" w:space="0" w:color="auto"/>
              <w:bottom w:val="single" w:sz="4" w:space="0" w:color="auto"/>
            </w:tcBorders>
          </w:tcPr>
          <w:p w:rsidR="00CF6CB3" w:rsidRPr="00026CD9" w:rsidRDefault="00CF6CB3" w:rsidP="00133200">
            <w:pPr>
              <w:spacing w:line="360" w:lineRule="auto"/>
              <w:jc w:val="center"/>
              <w:rPr>
                <w:b/>
                <w:sz w:val="24"/>
                <w:szCs w:val="24"/>
              </w:rPr>
            </w:pPr>
            <w:r w:rsidRPr="00026CD9">
              <w:rPr>
                <w:b/>
                <w:sz w:val="24"/>
                <w:szCs w:val="24"/>
              </w:rPr>
              <w:t>2011</w:t>
            </w:r>
          </w:p>
        </w:tc>
        <w:tc>
          <w:tcPr>
            <w:tcW w:w="895" w:type="dxa"/>
            <w:tcBorders>
              <w:top w:val="single" w:sz="4" w:space="0" w:color="auto"/>
              <w:bottom w:val="single" w:sz="4" w:space="0" w:color="auto"/>
            </w:tcBorders>
          </w:tcPr>
          <w:p w:rsidR="00CF6CB3" w:rsidRPr="00026CD9" w:rsidRDefault="00CF6CB3" w:rsidP="00133200">
            <w:pPr>
              <w:spacing w:line="360" w:lineRule="auto"/>
              <w:jc w:val="center"/>
              <w:rPr>
                <w:b/>
                <w:sz w:val="24"/>
                <w:szCs w:val="24"/>
              </w:rPr>
            </w:pPr>
            <w:r w:rsidRPr="00026CD9">
              <w:rPr>
                <w:b/>
                <w:sz w:val="24"/>
                <w:szCs w:val="24"/>
              </w:rPr>
              <w:t>2012</w:t>
            </w:r>
          </w:p>
        </w:tc>
      </w:tr>
      <w:tr w:rsidR="00CF6CB3" w:rsidRPr="00026CD9" w:rsidTr="00133200">
        <w:tc>
          <w:tcPr>
            <w:tcW w:w="2808" w:type="dxa"/>
            <w:tcBorders>
              <w:top w:val="single" w:sz="4" w:space="0" w:color="auto"/>
            </w:tcBorders>
          </w:tcPr>
          <w:p w:rsidR="00CF6CB3" w:rsidRPr="00026CD9" w:rsidRDefault="00CF6CB3" w:rsidP="00133200">
            <w:pPr>
              <w:spacing w:line="360" w:lineRule="auto"/>
              <w:rPr>
                <w:b/>
                <w:sz w:val="24"/>
                <w:szCs w:val="24"/>
              </w:rPr>
            </w:pPr>
            <w:r w:rsidRPr="00026CD9">
              <w:rPr>
                <w:b/>
                <w:sz w:val="24"/>
                <w:szCs w:val="24"/>
              </w:rPr>
              <w:t>Fresno to 1</w:t>
            </w:r>
            <w:r w:rsidRPr="00026CD9">
              <w:rPr>
                <w:b/>
                <w:sz w:val="24"/>
                <w:szCs w:val="24"/>
                <w:vertAlign w:val="superscript"/>
              </w:rPr>
              <w:t>st</w:t>
            </w:r>
            <w:r w:rsidRPr="00026CD9">
              <w:rPr>
                <w:b/>
                <w:sz w:val="24"/>
                <w:szCs w:val="24"/>
              </w:rPr>
              <w:t xml:space="preserve"> Street</w:t>
            </w:r>
          </w:p>
        </w:tc>
        <w:tc>
          <w:tcPr>
            <w:tcW w:w="900" w:type="dxa"/>
            <w:tcBorders>
              <w:top w:val="single" w:sz="4" w:space="0" w:color="auto"/>
            </w:tcBorders>
            <w:vAlign w:val="bottom"/>
          </w:tcPr>
          <w:p w:rsidR="00CF6CB3" w:rsidRPr="00026CD9" w:rsidRDefault="00CF6CB3" w:rsidP="00133200">
            <w:pPr>
              <w:spacing w:line="360" w:lineRule="auto"/>
              <w:jc w:val="center"/>
              <w:rPr>
                <w:color w:val="000000"/>
                <w:sz w:val="24"/>
                <w:szCs w:val="24"/>
              </w:rPr>
            </w:pPr>
            <w:r w:rsidRPr="00026CD9">
              <w:rPr>
                <w:color w:val="000000"/>
                <w:sz w:val="24"/>
                <w:szCs w:val="24"/>
              </w:rPr>
              <w:t>98</w:t>
            </w:r>
          </w:p>
        </w:tc>
        <w:tc>
          <w:tcPr>
            <w:tcW w:w="900" w:type="dxa"/>
            <w:tcBorders>
              <w:top w:val="single" w:sz="4" w:space="0" w:color="auto"/>
            </w:tcBorders>
            <w:vAlign w:val="bottom"/>
          </w:tcPr>
          <w:p w:rsidR="00CF6CB3" w:rsidRPr="00026CD9" w:rsidRDefault="00CF6CB3" w:rsidP="00133200">
            <w:pPr>
              <w:spacing w:line="360" w:lineRule="auto"/>
              <w:jc w:val="center"/>
              <w:rPr>
                <w:color w:val="000000"/>
                <w:sz w:val="24"/>
                <w:szCs w:val="24"/>
              </w:rPr>
            </w:pPr>
            <w:r w:rsidRPr="00026CD9">
              <w:rPr>
                <w:color w:val="000000"/>
                <w:sz w:val="24"/>
                <w:szCs w:val="24"/>
              </w:rPr>
              <w:t>99</w:t>
            </w:r>
          </w:p>
        </w:tc>
        <w:tc>
          <w:tcPr>
            <w:tcW w:w="990" w:type="dxa"/>
            <w:tcBorders>
              <w:top w:val="single" w:sz="4" w:space="0" w:color="auto"/>
            </w:tcBorders>
            <w:vAlign w:val="bottom"/>
          </w:tcPr>
          <w:p w:rsidR="00CF6CB3" w:rsidRPr="00026CD9" w:rsidRDefault="00CF6CB3" w:rsidP="00133200">
            <w:pPr>
              <w:spacing w:line="360" w:lineRule="auto"/>
              <w:jc w:val="center"/>
              <w:rPr>
                <w:color w:val="000000"/>
                <w:sz w:val="24"/>
                <w:szCs w:val="24"/>
              </w:rPr>
            </w:pPr>
            <w:r w:rsidRPr="00026CD9">
              <w:rPr>
                <w:color w:val="000000"/>
                <w:sz w:val="24"/>
                <w:szCs w:val="24"/>
              </w:rPr>
              <w:t>98</w:t>
            </w:r>
          </w:p>
        </w:tc>
        <w:tc>
          <w:tcPr>
            <w:tcW w:w="990" w:type="dxa"/>
            <w:tcBorders>
              <w:top w:val="single" w:sz="4" w:space="0" w:color="auto"/>
            </w:tcBorders>
            <w:vAlign w:val="bottom"/>
          </w:tcPr>
          <w:p w:rsidR="00CF6CB3" w:rsidRPr="00026CD9" w:rsidRDefault="00CF6CB3" w:rsidP="00133200">
            <w:pPr>
              <w:spacing w:line="360" w:lineRule="auto"/>
              <w:jc w:val="center"/>
              <w:rPr>
                <w:color w:val="000000"/>
                <w:sz w:val="24"/>
                <w:szCs w:val="24"/>
              </w:rPr>
            </w:pPr>
            <w:r w:rsidRPr="00026CD9">
              <w:rPr>
                <w:color w:val="000000"/>
                <w:sz w:val="24"/>
                <w:szCs w:val="24"/>
              </w:rPr>
              <w:t>97</w:t>
            </w:r>
          </w:p>
        </w:tc>
        <w:tc>
          <w:tcPr>
            <w:tcW w:w="900" w:type="dxa"/>
            <w:tcBorders>
              <w:top w:val="single" w:sz="4" w:space="0" w:color="auto"/>
            </w:tcBorders>
            <w:vAlign w:val="bottom"/>
          </w:tcPr>
          <w:p w:rsidR="00CF6CB3" w:rsidRPr="00026CD9" w:rsidRDefault="00CF6CB3" w:rsidP="00133200">
            <w:pPr>
              <w:spacing w:line="360" w:lineRule="auto"/>
              <w:jc w:val="center"/>
              <w:rPr>
                <w:color w:val="000000"/>
                <w:sz w:val="24"/>
                <w:szCs w:val="24"/>
              </w:rPr>
            </w:pPr>
            <w:r w:rsidRPr="00026CD9">
              <w:rPr>
                <w:color w:val="000000"/>
                <w:sz w:val="24"/>
                <w:szCs w:val="24"/>
              </w:rPr>
              <w:t>100</w:t>
            </w:r>
          </w:p>
        </w:tc>
        <w:tc>
          <w:tcPr>
            <w:tcW w:w="895" w:type="dxa"/>
            <w:tcBorders>
              <w:top w:val="single" w:sz="4" w:space="0" w:color="auto"/>
            </w:tcBorders>
            <w:vAlign w:val="bottom"/>
          </w:tcPr>
          <w:p w:rsidR="00CF6CB3" w:rsidRPr="00026CD9" w:rsidRDefault="00CF6CB3" w:rsidP="00133200">
            <w:pPr>
              <w:spacing w:line="360" w:lineRule="auto"/>
              <w:jc w:val="center"/>
              <w:rPr>
                <w:color w:val="000000"/>
                <w:sz w:val="24"/>
                <w:szCs w:val="24"/>
              </w:rPr>
            </w:pPr>
            <w:r w:rsidRPr="00026CD9">
              <w:rPr>
                <w:color w:val="000000"/>
                <w:sz w:val="24"/>
                <w:szCs w:val="24"/>
              </w:rPr>
              <w:t>29</w:t>
            </w:r>
          </w:p>
        </w:tc>
      </w:tr>
      <w:tr w:rsidR="00CF6CB3" w:rsidRPr="00026CD9" w:rsidTr="00133200">
        <w:tc>
          <w:tcPr>
            <w:tcW w:w="2808" w:type="dxa"/>
            <w:vAlign w:val="bottom"/>
          </w:tcPr>
          <w:p w:rsidR="00CF6CB3" w:rsidRPr="00026CD9" w:rsidRDefault="00CF6CB3" w:rsidP="00133200">
            <w:pPr>
              <w:rPr>
                <w:b/>
                <w:sz w:val="24"/>
                <w:szCs w:val="24"/>
              </w:rPr>
            </w:pPr>
            <w:r w:rsidRPr="00026CD9">
              <w:rPr>
                <w:b/>
                <w:sz w:val="24"/>
                <w:szCs w:val="24"/>
              </w:rPr>
              <w:t>Fresno to Hamilton</w:t>
            </w:r>
          </w:p>
        </w:tc>
        <w:tc>
          <w:tcPr>
            <w:tcW w:w="900" w:type="dxa"/>
            <w:vAlign w:val="bottom"/>
          </w:tcPr>
          <w:p w:rsidR="00CF6CB3" w:rsidRPr="00026CD9" w:rsidRDefault="00CF6CB3" w:rsidP="00133200">
            <w:pPr>
              <w:jc w:val="center"/>
              <w:rPr>
                <w:color w:val="000000"/>
                <w:sz w:val="24"/>
                <w:szCs w:val="24"/>
              </w:rPr>
            </w:pPr>
            <w:r w:rsidRPr="00026CD9">
              <w:rPr>
                <w:color w:val="000000"/>
                <w:sz w:val="24"/>
                <w:szCs w:val="24"/>
              </w:rPr>
              <w:t>98</w:t>
            </w:r>
          </w:p>
        </w:tc>
        <w:tc>
          <w:tcPr>
            <w:tcW w:w="900" w:type="dxa"/>
            <w:vAlign w:val="bottom"/>
          </w:tcPr>
          <w:p w:rsidR="00CF6CB3" w:rsidRPr="00026CD9" w:rsidRDefault="00CF6CB3" w:rsidP="00133200">
            <w:pPr>
              <w:jc w:val="center"/>
              <w:rPr>
                <w:color w:val="000000"/>
                <w:sz w:val="24"/>
                <w:szCs w:val="24"/>
              </w:rPr>
            </w:pPr>
            <w:r w:rsidRPr="00026CD9">
              <w:rPr>
                <w:color w:val="000000"/>
                <w:sz w:val="24"/>
                <w:szCs w:val="24"/>
              </w:rPr>
              <w:t>97</w:t>
            </w:r>
          </w:p>
        </w:tc>
        <w:tc>
          <w:tcPr>
            <w:tcW w:w="990" w:type="dxa"/>
            <w:vAlign w:val="bottom"/>
          </w:tcPr>
          <w:p w:rsidR="00CF6CB3" w:rsidRPr="00026CD9" w:rsidRDefault="00CF6CB3" w:rsidP="00133200">
            <w:pPr>
              <w:jc w:val="center"/>
              <w:rPr>
                <w:color w:val="000000"/>
                <w:sz w:val="24"/>
                <w:szCs w:val="24"/>
              </w:rPr>
            </w:pPr>
            <w:r w:rsidRPr="00026CD9">
              <w:rPr>
                <w:color w:val="000000"/>
                <w:sz w:val="24"/>
                <w:szCs w:val="24"/>
              </w:rPr>
              <w:t>99</w:t>
            </w:r>
          </w:p>
        </w:tc>
        <w:tc>
          <w:tcPr>
            <w:tcW w:w="990" w:type="dxa"/>
            <w:vAlign w:val="bottom"/>
          </w:tcPr>
          <w:p w:rsidR="00CF6CB3" w:rsidRPr="00026CD9" w:rsidRDefault="00CF6CB3" w:rsidP="00133200">
            <w:pPr>
              <w:jc w:val="center"/>
              <w:rPr>
                <w:color w:val="000000"/>
                <w:sz w:val="24"/>
                <w:szCs w:val="24"/>
              </w:rPr>
            </w:pPr>
            <w:r w:rsidRPr="00026CD9">
              <w:rPr>
                <w:color w:val="000000"/>
                <w:sz w:val="24"/>
                <w:szCs w:val="24"/>
              </w:rPr>
              <w:t>98</w:t>
            </w:r>
          </w:p>
        </w:tc>
        <w:tc>
          <w:tcPr>
            <w:tcW w:w="900" w:type="dxa"/>
            <w:vAlign w:val="bottom"/>
          </w:tcPr>
          <w:p w:rsidR="00CF6CB3" w:rsidRPr="00026CD9" w:rsidRDefault="00CF6CB3" w:rsidP="00133200">
            <w:pPr>
              <w:jc w:val="center"/>
              <w:rPr>
                <w:color w:val="000000"/>
                <w:sz w:val="24"/>
                <w:szCs w:val="24"/>
              </w:rPr>
            </w:pPr>
            <w:r w:rsidRPr="00026CD9">
              <w:rPr>
                <w:color w:val="000000"/>
                <w:sz w:val="24"/>
                <w:szCs w:val="24"/>
              </w:rPr>
              <w:t>80</w:t>
            </w:r>
          </w:p>
        </w:tc>
        <w:tc>
          <w:tcPr>
            <w:tcW w:w="895" w:type="dxa"/>
            <w:vAlign w:val="bottom"/>
          </w:tcPr>
          <w:p w:rsidR="00CF6CB3" w:rsidRPr="00026CD9" w:rsidRDefault="00CF6CB3" w:rsidP="00133200">
            <w:pPr>
              <w:jc w:val="center"/>
              <w:rPr>
                <w:color w:val="000000"/>
                <w:sz w:val="24"/>
                <w:szCs w:val="24"/>
              </w:rPr>
            </w:pPr>
            <w:r w:rsidRPr="00026CD9">
              <w:rPr>
                <w:color w:val="000000"/>
                <w:sz w:val="24"/>
                <w:szCs w:val="24"/>
              </w:rPr>
              <w:t>97</w:t>
            </w:r>
          </w:p>
        </w:tc>
      </w:tr>
      <w:tr w:rsidR="00CF6CB3" w:rsidRPr="00026CD9" w:rsidTr="00133200">
        <w:trPr>
          <w:trHeight w:val="360"/>
        </w:trPr>
        <w:tc>
          <w:tcPr>
            <w:tcW w:w="2808" w:type="dxa"/>
            <w:vAlign w:val="bottom"/>
          </w:tcPr>
          <w:p w:rsidR="00CF6CB3" w:rsidRPr="00026CD9" w:rsidRDefault="00CF6CB3" w:rsidP="00133200">
            <w:pPr>
              <w:rPr>
                <w:b/>
                <w:sz w:val="24"/>
                <w:szCs w:val="24"/>
              </w:rPr>
            </w:pPr>
            <w:r w:rsidRPr="00026CD9">
              <w:rPr>
                <w:b/>
                <w:sz w:val="24"/>
                <w:szCs w:val="24"/>
              </w:rPr>
              <w:t>State of California</w:t>
            </w:r>
          </w:p>
        </w:tc>
        <w:tc>
          <w:tcPr>
            <w:tcW w:w="900" w:type="dxa"/>
            <w:vAlign w:val="bottom"/>
          </w:tcPr>
          <w:p w:rsidR="00CF6CB3" w:rsidRPr="00026CD9" w:rsidRDefault="00CF6CB3" w:rsidP="00133200">
            <w:pPr>
              <w:jc w:val="center"/>
              <w:rPr>
                <w:color w:val="000000"/>
                <w:sz w:val="24"/>
                <w:szCs w:val="24"/>
              </w:rPr>
            </w:pPr>
            <w:r w:rsidRPr="00026CD9">
              <w:rPr>
                <w:color w:val="000000"/>
                <w:sz w:val="24"/>
                <w:szCs w:val="24"/>
              </w:rPr>
              <w:t>85</w:t>
            </w:r>
          </w:p>
        </w:tc>
        <w:tc>
          <w:tcPr>
            <w:tcW w:w="900" w:type="dxa"/>
            <w:vAlign w:val="bottom"/>
          </w:tcPr>
          <w:p w:rsidR="00CF6CB3" w:rsidRPr="00026CD9" w:rsidRDefault="00CF6CB3" w:rsidP="00133200">
            <w:pPr>
              <w:jc w:val="center"/>
              <w:rPr>
                <w:color w:val="000000"/>
                <w:sz w:val="24"/>
                <w:szCs w:val="24"/>
              </w:rPr>
            </w:pPr>
            <w:r w:rsidRPr="00026CD9">
              <w:rPr>
                <w:color w:val="000000"/>
                <w:sz w:val="24"/>
                <w:szCs w:val="24"/>
              </w:rPr>
              <w:t>88</w:t>
            </w:r>
          </w:p>
        </w:tc>
        <w:tc>
          <w:tcPr>
            <w:tcW w:w="990" w:type="dxa"/>
            <w:vAlign w:val="bottom"/>
          </w:tcPr>
          <w:p w:rsidR="00CF6CB3" w:rsidRPr="00026CD9" w:rsidRDefault="00CF6CB3" w:rsidP="00133200">
            <w:pPr>
              <w:jc w:val="center"/>
              <w:rPr>
                <w:color w:val="000000"/>
                <w:sz w:val="24"/>
                <w:szCs w:val="24"/>
              </w:rPr>
            </w:pPr>
            <w:r w:rsidRPr="00026CD9">
              <w:rPr>
                <w:color w:val="000000"/>
                <w:sz w:val="24"/>
                <w:szCs w:val="24"/>
              </w:rPr>
              <w:t>78</w:t>
            </w:r>
          </w:p>
        </w:tc>
        <w:tc>
          <w:tcPr>
            <w:tcW w:w="990" w:type="dxa"/>
            <w:vAlign w:val="bottom"/>
          </w:tcPr>
          <w:p w:rsidR="00CF6CB3" w:rsidRPr="00026CD9" w:rsidRDefault="00CF6CB3" w:rsidP="00133200">
            <w:pPr>
              <w:jc w:val="center"/>
              <w:rPr>
                <w:color w:val="000000"/>
                <w:sz w:val="24"/>
                <w:szCs w:val="24"/>
              </w:rPr>
            </w:pPr>
            <w:r w:rsidRPr="00026CD9">
              <w:rPr>
                <w:color w:val="000000"/>
                <w:sz w:val="24"/>
                <w:szCs w:val="24"/>
              </w:rPr>
              <w:t>70</w:t>
            </w:r>
          </w:p>
        </w:tc>
        <w:tc>
          <w:tcPr>
            <w:tcW w:w="900" w:type="dxa"/>
            <w:vAlign w:val="bottom"/>
          </w:tcPr>
          <w:p w:rsidR="00CF6CB3" w:rsidRPr="00026CD9" w:rsidRDefault="00CF6CB3" w:rsidP="00133200">
            <w:pPr>
              <w:jc w:val="center"/>
              <w:rPr>
                <w:color w:val="000000"/>
                <w:sz w:val="24"/>
                <w:szCs w:val="24"/>
              </w:rPr>
            </w:pPr>
            <w:r w:rsidRPr="00026CD9">
              <w:rPr>
                <w:color w:val="000000"/>
                <w:sz w:val="24"/>
                <w:szCs w:val="24"/>
              </w:rPr>
              <w:t>75</w:t>
            </w:r>
          </w:p>
        </w:tc>
        <w:tc>
          <w:tcPr>
            <w:tcW w:w="895" w:type="dxa"/>
            <w:vAlign w:val="bottom"/>
          </w:tcPr>
          <w:p w:rsidR="00CF6CB3" w:rsidRPr="00026CD9" w:rsidRDefault="00CF6CB3" w:rsidP="00133200">
            <w:pPr>
              <w:jc w:val="center"/>
              <w:rPr>
                <w:color w:val="000000"/>
                <w:sz w:val="24"/>
                <w:szCs w:val="24"/>
              </w:rPr>
            </w:pPr>
            <w:r w:rsidRPr="00026CD9">
              <w:rPr>
                <w:color w:val="000000"/>
                <w:sz w:val="24"/>
                <w:szCs w:val="24"/>
              </w:rPr>
              <w:t>72</w:t>
            </w:r>
          </w:p>
        </w:tc>
      </w:tr>
    </w:tbl>
    <w:p w:rsidR="00CF6CB3" w:rsidRPr="00026CD9" w:rsidRDefault="00CF6CB3" w:rsidP="00E21B22">
      <w:pPr>
        <w:spacing w:line="480" w:lineRule="auto"/>
        <w:rPr>
          <w:sz w:val="24"/>
          <w:szCs w:val="24"/>
        </w:rPr>
      </w:pPr>
    </w:p>
    <w:p w:rsidR="00CF6CB3" w:rsidRPr="00026CD9" w:rsidRDefault="00CF6CB3" w:rsidP="00E21B22">
      <w:pPr>
        <w:spacing w:line="480" w:lineRule="auto"/>
        <w:rPr>
          <w:sz w:val="24"/>
          <w:szCs w:val="24"/>
        </w:rPr>
      </w:pPr>
    </w:p>
    <w:p w:rsidR="00CF6CB3" w:rsidRPr="00026CD9" w:rsidRDefault="00CF6CB3" w:rsidP="00E21B22">
      <w:pPr>
        <w:spacing w:line="480" w:lineRule="auto"/>
        <w:rPr>
          <w:sz w:val="24"/>
          <w:szCs w:val="24"/>
        </w:rPr>
      </w:pPr>
    </w:p>
    <w:p w:rsidR="00CF6CB3" w:rsidRPr="00026CD9" w:rsidRDefault="00CF6CB3" w:rsidP="00E21B22">
      <w:pPr>
        <w:spacing w:line="480" w:lineRule="auto"/>
        <w:rPr>
          <w:sz w:val="24"/>
          <w:szCs w:val="24"/>
        </w:rPr>
      </w:pPr>
    </w:p>
    <w:p w:rsidR="00CF6CB3" w:rsidRPr="00026CD9" w:rsidRDefault="00CF6CB3" w:rsidP="00CF6CB3">
      <w:pPr>
        <w:rPr>
          <w:sz w:val="12"/>
          <w:szCs w:val="12"/>
        </w:rPr>
      </w:pPr>
    </w:p>
    <w:p w:rsidR="00CF6CB3" w:rsidRPr="00026CD9" w:rsidRDefault="00CF6CB3" w:rsidP="00E21B22">
      <w:pPr>
        <w:spacing w:line="480" w:lineRule="auto"/>
        <w:rPr>
          <w:sz w:val="24"/>
          <w:szCs w:val="24"/>
        </w:rPr>
      </w:pPr>
      <w:r w:rsidRPr="00026CD9">
        <w:rPr>
          <w:sz w:val="24"/>
          <w:szCs w:val="24"/>
        </w:rPr>
        <w:t>Source: The California Environmental Protection Agency, 2014</w:t>
      </w:r>
    </w:p>
    <w:p w:rsidR="00FE1524" w:rsidRPr="00026CD9" w:rsidRDefault="000444A6" w:rsidP="00FE1524">
      <w:pPr>
        <w:spacing w:line="480" w:lineRule="auto"/>
        <w:ind w:firstLine="720"/>
        <w:rPr>
          <w:sz w:val="24"/>
          <w:szCs w:val="24"/>
        </w:rPr>
      </w:pPr>
      <w:r>
        <w:rPr>
          <w:sz w:val="24"/>
          <w:szCs w:val="24"/>
        </w:rPr>
        <w:t>Table 4</w:t>
      </w:r>
      <w:r w:rsidR="00FE1524" w:rsidRPr="00026CD9">
        <w:rPr>
          <w:sz w:val="24"/>
          <w:szCs w:val="24"/>
        </w:rPr>
        <w:t xml:space="preserve"> illustrates that collected monitoring sites in Fresno County have a higher number of unhealthy days with PM 2.5 when compared with the State of California. </w:t>
      </w:r>
    </w:p>
    <w:p w:rsidR="00FE1524" w:rsidRPr="00026CD9" w:rsidRDefault="00FE1524" w:rsidP="00FE1524">
      <w:pPr>
        <w:spacing w:line="480" w:lineRule="auto"/>
        <w:rPr>
          <w:i/>
          <w:sz w:val="24"/>
          <w:szCs w:val="24"/>
        </w:rPr>
      </w:pPr>
      <w:r w:rsidRPr="00026CD9">
        <w:rPr>
          <w:i/>
          <w:sz w:val="24"/>
          <w:szCs w:val="24"/>
        </w:rPr>
        <w:t>Water Quality</w:t>
      </w:r>
    </w:p>
    <w:p w:rsidR="00FE1524" w:rsidRPr="00026CD9" w:rsidRDefault="00FE1524" w:rsidP="00FE1524">
      <w:pPr>
        <w:spacing w:line="480" w:lineRule="auto"/>
        <w:rPr>
          <w:sz w:val="24"/>
          <w:szCs w:val="24"/>
        </w:rPr>
      </w:pPr>
      <w:r w:rsidRPr="00026CD9">
        <w:rPr>
          <w:sz w:val="24"/>
          <w:szCs w:val="24"/>
        </w:rPr>
        <w:tab/>
        <w:t xml:space="preserve">The researcher utilized publicly available data from the State Water Resource Control Board to determine if there is a possible relationship between the water quality in one’s community and child maltreatment allegations. The researcher </w:t>
      </w:r>
      <w:r w:rsidR="00026CD9" w:rsidRPr="00026CD9">
        <w:rPr>
          <w:sz w:val="24"/>
          <w:szCs w:val="24"/>
        </w:rPr>
        <w:t xml:space="preserve">could </w:t>
      </w:r>
      <w:r w:rsidRPr="00026CD9">
        <w:rPr>
          <w:sz w:val="24"/>
          <w:szCs w:val="24"/>
        </w:rPr>
        <w:t>not sort out the total average sewer overflow of toxic chemicals in Fresno County by zip code</w:t>
      </w:r>
      <w:r w:rsidR="00026CD9" w:rsidRPr="00026CD9">
        <w:rPr>
          <w:sz w:val="24"/>
          <w:szCs w:val="24"/>
        </w:rPr>
        <w:t>.</w:t>
      </w:r>
      <w:r w:rsidRPr="00026CD9">
        <w:rPr>
          <w:sz w:val="24"/>
          <w:szCs w:val="24"/>
        </w:rPr>
        <w:t xml:space="preserve"> The following table will, therefore, demonstrate the exposure of toxic chemicals</w:t>
      </w:r>
      <w:r w:rsidR="008E1E23">
        <w:rPr>
          <w:sz w:val="24"/>
          <w:szCs w:val="24"/>
        </w:rPr>
        <w:t xml:space="preserve"> </w:t>
      </w:r>
      <w:r w:rsidR="008E1E23" w:rsidRPr="00026CD9">
        <w:rPr>
          <w:sz w:val="24"/>
          <w:szCs w:val="24"/>
        </w:rPr>
        <w:t>Nitrate</w:t>
      </w:r>
      <w:r w:rsidRPr="00026CD9">
        <w:rPr>
          <w:sz w:val="24"/>
          <w:szCs w:val="24"/>
        </w:rPr>
        <w:t xml:space="preserve"> </w:t>
      </w:r>
      <w:r w:rsidR="008E1E23">
        <w:rPr>
          <w:sz w:val="24"/>
          <w:szCs w:val="24"/>
        </w:rPr>
        <w:t>(</w:t>
      </w:r>
      <w:r w:rsidRPr="00026CD9">
        <w:rPr>
          <w:sz w:val="24"/>
          <w:szCs w:val="24"/>
        </w:rPr>
        <w:t>NO3</w:t>
      </w:r>
      <w:r w:rsidR="008E1E23">
        <w:rPr>
          <w:sz w:val="24"/>
          <w:szCs w:val="24"/>
        </w:rPr>
        <w:t>)</w:t>
      </w:r>
      <w:r w:rsidRPr="00026CD9">
        <w:rPr>
          <w:sz w:val="24"/>
          <w:szCs w:val="24"/>
        </w:rPr>
        <w:t xml:space="preserve"> and </w:t>
      </w:r>
      <w:r w:rsidR="008E1E23" w:rsidRPr="00026CD9">
        <w:rPr>
          <w:sz w:val="24"/>
          <w:szCs w:val="24"/>
        </w:rPr>
        <w:t xml:space="preserve">Multifunctional Cationic Surfactant </w:t>
      </w:r>
      <w:r w:rsidR="008E1E23">
        <w:rPr>
          <w:sz w:val="24"/>
          <w:szCs w:val="24"/>
        </w:rPr>
        <w:t>(</w:t>
      </w:r>
      <w:r w:rsidRPr="00026CD9">
        <w:rPr>
          <w:sz w:val="24"/>
          <w:szCs w:val="24"/>
        </w:rPr>
        <w:t>FC12</w:t>
      </w:r>
      <w:r w:rsidR="008E1E23">
        <w:rPr>
          <w:sz w:val="24"/>
          <w:szCs w:val="24"/>
        </w:rPr>
        <w:t>)</w:t>
      </w:r>
      <w:r w:rsidRPr="00026CD9">
        <w:rPr>
          <w:sz w:val="24"/>
          <w:szCs w:val="24"/>
        </w:rPr>
        <w:t xml:space="preserve"> that </w:t>
      </w:r>
      <w:r w:rsidR="00026CD9" w:rsidRPr="00026CD9">
        <w:rPr>
          <w:sz w:val="24"/>
          <w:szCs w:val="24"/>
        </w:rPr>
        <w:t xml:space="preserve">all </w:t>
      </w:r>
      <w:r w:rsidRPr="00026CD9">
        <w:rPr>
          <w:sz w:val="24"/>
          <w:szCs w:val="24"/>
        </w:rPr>
        <w:t xml:space="preserve">residents in Fresno County are exposed to. </w:t>
      </w:r>
    </w:p>
    <w:p w:rsidR="00026CD9" w:rsidRDefault="00026CD9" w:rsidP="00FE1524">
      <w:pPr>
        <w:spacing w:line="480" w:lineRule="auto"/>
        <w:rPr>
          <w:sz w:val="24"/>
          <w:szCs w:val="24"/>
          <w:highlight w:val="yellow"/>
        </w:rPr>
      </w:pPr>
    </w:p>
    <w:p w:rsidR="00026CD9" w:rsidRDefault="00026CD9" w:rsidP="00FE1524">
      <w:pPr>
        <w:spacing w:line="480" w:lineRule="auto"/>
        <w:rPr>
          <w:sz w:val="24"/>
          <w:szCs w:val="24"/>
          <w:highlight w:val="yellow"/>
        </w:rPr>
      </w:pPr>
    </w:p>
    <w:p w:rsidR="00026CD9" w:rsidRDefault="00026CD9" w:rsidP="00FE1524">
      <w:pPr>
        <w:spacing w:line="480" w:lineRule="auto"/>
        <w:rPr>
          <w:sz w:val="24"/>
          <w:szCs w:val="24"/>
          <w:highlight w:val="yellow"/>
        </w:rPr>
      </w:pPr>
    </w:p>
    <w:p w:rsidR="00026CD9" w:rsidRDefault="00026CD9" w:rsidP="00FE1524">
      <w:pPr>
        <w:spacing w:line="480" w:lineRule="auto"/>
        <w:rPr>
          <w:sz w:val="24"/>
          <w:szCs w:val="24"/>
          <w:highlight w:val="yellow"/>
        </w:rPr>
      </w:pPr>
    </w:p>
    <w:p w:rsidR="00026CD9" w:rsidRPr="00A64EA4" w:rsidRDefault="00026CD9" w:rsidP="00FE1524">
      <w:pPr>
        <w:spacing w:line="480" w:lineRule="auto"/>
        <w:rPr>
          <w:sz w:val="24"/>
          <w:szCs w:val="24"/>
          <w:highlight w:val="yellow"/>
        </w:rPr>
      </w:pPr>
    </w:p>
    <w:p w:rsidR="00FE1524" w:rsidRPr="00026CD9" w:rsidRDefault="00026CD9" w:rsidP="005840A7">
      <w:pPr>
        <w:spacing w:line="480" w:lineRule="auto"/>
        <w:ind w:firstLine="720"/>
        <w:rPr>
          <w:sz w:val="24"/>
          <w:szCs w:val="24"/>
        </w:rPr>
      </w:pPr>
      <w:r w:rsidRPr="00026CD9">
        <w:rPr>
          <w:sz w:val="24"/>
          <w:szCs w:val="24"/>
        </w:rPr>
        <w:t xml:space="preserve">Table </w:t>
      </w:r>
      <w:r w:rsidR="000444A6">
        <w:rPr>
          <w:sz w:val="24"/>
          <w:szCs w:val="24"/>
        </w:rPr>
        <w:t>5</w:t>
      </w:r>
      <w:r w:rsidR="00FE1524" w:rsidRPr="00026CD9">
        <w:rPr>
          <w:sz w:val="24"/>
          <w:szCs w:val="24"/>
        </w:rPr>
        <w:t xml:space="preserve"> represents the average sewer overflow of Nitrate (NO3) and Multifunctional Cationic Surfactant (FC12) in Fresno County from 2007 to 2012. </w:t>
      </w:r>
    </w:p>
    <w:tbl>
      <w:tblPr>
        <w:tblW w:w="0" w:type="auto"/>
        <w:tblBorders>
          <w:bottom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FE1524" w:rsidRPr="00026CD9" w:rsidTr="00133200">
        <w:trPr>
          <w:trHeight w:val="828"/>
        </w:trPr>
        <w:tc>
          <w:tcPr>
            <w:tcW w:w="9576" w:type="dxa"/>
            <w:gridSpan w:val="7"/>
          </w:tcPr>
          <w:p w:rsidR="00FE1524" w:rsidRPr="00026CD9" w:rsidRDefault="000444A6" w:rsidP="00133200">
            <w:pPr>
              <w:spacing w:line="360" w:lineRule="auto"/>
              <w:rPr>
                <w:b/>
                <w:sz w:val="24"/>
                <w:szCs w:val="24"/>
              </w:rPr>
            </w:pPr>
            <w:r>
              <w:rPr>
                <w:b/>
                <w:sz w:val="24"/>
                <w:szCs w:val="24"/>
              </w:rPr>
              <w:t>Table 5</w:t>
            </w:r>
          </w:p>
          <w:p w:rsidR="00FE1524" w:rsidRPr="00026CD9" w:rsidRDefault="00FE1524" w:rsidP="00133200">
            <w:pPr>
              <w:spacing w:line="360" w:lineRule="auto"/>
              <w:rPr>
                <w:b/>
                <w:sz w:val="24"/>
                <w:szCs w:val="24"/>
              </w:rPr>
            </w:pPr>
            <w:r w:rsidRPr="00026CD9">
              <w:rPr>
                <w:b/>
                <w:sz w:val="24"/>
                <w:szCs w:val="24"/>
              </w:rPr>
              <w:t>Average Sewer Overflow of Toxic Chemicals in Fresno County</w:t>
            </w:r>
          </w:p>
        </w:tc>
      </w:tr>
      <w:tr w:rsidR="00FE1524" w:rsidRPr="00026CD9" w:rsidTr="00133200">
        <w:tc>
          <w:tcPr>
            <w:tcW w:w="1368" w:type="dxa"/>
            <w:tcBorders>
              <w:top w:val="single" w:sz="4" w:space="0" w:color="auto"/>
              <w:bottom w:val="single" w:sz="4" w:space="0" w:color="auto"/>
            </w:tcBorders>
          </w:tcPr>
          <w:p w:rsidR="00FE1524" w:rsidRPr="00026CD9" w:rsidRDefault="00FE1524" w:rsidP="00133200">
            <w:pPr>
              <w:spacing w:line="360" w:lineRule="auto"/>
              <w:rPr>
                <w:sz w:val="24"/>
                <w:szCs w:val="24"/>
              </w:rPr>
            </w:pPr>
          </w:p>
        </w:tc>
        <w:tc>
          <w:tcPr>
            <w:tcW w:w="1368" w:type="dxa"/>
            <w:tcBorders>
              <w:top w:val="single" w:sz="4" w:space="0" w:color="auto"/>
              <w:bottom w:val="single" w:sz="4" w:space="0" w:color="auto"/>
            </w:tcBorders>
          </w:tcPr>
          <w:p w:rsidR="00FE1524" w:rsidRPr="00026CD9" w:rsidRDefault="00FE1524" w:rsidP="00133200">
            <w:pPr>
              <w:spacing w:line="360" w:lineRule="auto"/>
              <w:jc w:val="center"/>
              <w:rPr>
                <w:b/>
                <w:sz w:val="24"/>
                <w:szCs w:val="24"/>
              </w:rPr>
            </w:pPr>
            <w:r w:rsidRPr="00026CD9">
              <w:rPr>
                <w:b/>
                <w:sz w:val="24"/>
                <w:szCs w:val="24"/>
              </w:rPr>
              <w:t>2007</w:t>
            </w:r>
          </w:p>
          <w:p w:rsidR="00FE1524" w:rsidRPr="00026CD9" w:rsidRDefault="00FE1524" w:rsidP="00133200">
            <w:pPr>
              <w:spacing w:line="360" w:lineRule="auto"/>
              <w:jc w:val="center"/>
              <w:rPr>
                <w:b/>
                <w:sz w:val="24"/>
                <w:szCs w:val="24"/>
              </w:rPr>
            </w:pPr>
            <w:r w:rsidRPr="00026CD9">
              <w:rPr>
                <w:b/>
                <w:sz w:val="24"/>
                <w:szCs w:val="24"/>
              </w:rPr>
              <w:t>(mg/l)</w:t>
            </w:r>
          </w:p>
        </w:tc>
        <w:tc>
          <w:tcPr>
            <w:tcW w:w="1368" w:type="dxa"/>
            <w:tcBorders>
              <w:top w:val="single" w:sz="4" w:space="0" w:color="auto"/>
              <w:bottom w:val="single" w:sz="4" w:space="0" w:color="auto"/>
            </w:tcBorders>
          </w:tcPr>
          <w:p w:rsidR="00FE1524" w:rsidRPr="00026CD9" w:rsidRDefault="00FE1524" w:rsidP="00133200">
            <w:pPr>
              <w:spacing w:line="360" w:lineRule="auto"/>
              <w:jc w:val="center"/>
              <w:rPr>
                <w:b/>
                <w:sz w:val="24"/>
                <w:szCs w:val="24"/>
              </w:rPr>
            </w:pPr>
            <w:r w:rsidRPr="00026CD9">
              <w:rPr>
                <w:b/>
                <w:sz w:val="24"/>
                <w:szCs w:val="24"/>
              </w:rPr>
              <w:t>2008</w:t>
            </w:r>
          </w:p>
          <w:p w:rsidR="00FE1524" w:rsidRPr="00026CD9" w:rsidRDefault="00FE1524" w:rsidP="00133200">
            <w:pPr>
              <w:spacing w:line="360" w:lineRule="auto"/>
              <w:jc w:val="center"/>
              <w:rPr>
                <w:b/>
                <w:sz w:val="24"/>
                <w:szCs w:val="24"/>
              </w:rPr>
            </w:pPr>
            <w:r w:rsidRPr="00026CD9">
              <w:rPr>
                <w:b/>
                <w:sz w:val="24"/>
                <w:szCs w:val="24"/>
              </w:rPr>
              <w:t>(mg/l)</w:t>
            </w:r>
          </w:p>
        </w:tc>
        <w:tc>
          <w:tcPr>
            <w:tcW w:w="1368" w:type="dxa"/>
            <w:tcBorders>
              <w:top w:val="single" w:sz="4" w:space="0" w:color="auto"/>
              <w:bottom w:val="single" w:sz="4" w:space="0" w:color="auto"/>
            </w:tcBorders>
          </w:tcPr>
          <w:p w:rsidR="00FE1524" w:rsidRPr="00026CD9" w:rsidRDefault="00FE1524" w:rsidP="00133200">
            <w:pPr>
              <w:spacing w:line="360" w:lineRule="auto"/>
              <w:jc w:val="center"/>
              <w:rPr>
                <w:b/>
                <w:sz w:val="24"/>
                <w:szCs w:val="24"/>
              </w:rPr>
            </w:pPr>
            <w:r w:rsidRPr="00026CD9">
              <w:rPr>
                <w:b/>
                <w:sz w:val="24"/>
                <w:szCs w:val="24"/>
              </w:rPr>
              <w:t>2009</w:t>
            </w:r>
          </w:p>
          <w:p w:rsidR="00FE1524" w:rsidRPr="00026CD9" w:rsidRDefault="00FE1524" w:rsidP="00133200">
            <w:pPr>
              <w:spacing w:line="360" w:lineRule="auto"/>
              <w:jc w:val="center"/>
              <w:rPr>
                <w:b/>
                <w:sz w:val="24"/>
                <w:szCs w:val="24"/>
              </w:rPr>
            </w:pPr>
            <w:r w:rsidRPr="00026CD9">
              <w:rPr>
                <w:b/>
                <w:sz w:val="24"/>
                <w:szCs w:val="24"/>
              </w:rPr>
              <w:t>(mg/l)</w:t>
            </w:r>
          </w:p>
        </w:tc>
        <w:tc>
          <w:tcPr>
            <w:tcW w:w="1368" w:type="dxa"/>
            <w:tcBorders>
              <w:top w:val="single" w:sz="4" w:space="0" w:color="auto"/>
              <w:bottom w:val="single" w:sz="4" w:space="0" w:color="auto"/>
            </w:tcBorders>
          </w:tcPr>
          <w:p w:rsidR="00FE1524" w:rsidRPr="00026CD9" w:rsidRDefault="00FE1524" w:rsidP="00133200">
            <w:pPr>
              <w:spacing w:line="360" w:lineRule="auto"/>
              <w:jc w:val="center"/>
              <w:rPr>
                <w:b/>
                <w:sz w:val="24"/>
                <w:szCs w:val="24"/>
              </w:rPr>
            </w:pPr>
            <w:r w:rsidRPr="00026CD9">
              <w:rPr>
                <w:b/>
                <w:sz w:val="24"/>
                <w:szCs w:val="24"/>
              </w:rPr>
              <w:t>2010</w:t>
            </w:r>
          </w:p>
          <w:p w:rsidR="00FE1524" w:rsidRPr="00026CD9" w:rsidRDefault="00FE1524" w:rsidP="00133200">
            <w:pPr>
              <w:spacing w:line="360" w:lineRule="auto"/>
              <w:jc w:val="center"/>
              <w:rPr>
                <w:b/>
                <w:sz w:val="24"/>
                <w:szCs w:val="24"/>
              </w:rPr>
            </w:pPr>
            <w:r w:rsidRPr="00026CD9">
              <w:rPr>
                <w:b/>
                <w:sz w:val="24"/>
                <w:szCs w:val="24"/>
              </w:rPr>
              <w:t>(mg/l)</w:t>
            </w:r>
          </w:p>
        </w:tc>
        <w:tc>
          <w:tcPr>
            <w:tcW w:w="1368" w:type="dxa"/>
            <w:tcBorders>
              <w:top w:val="single" w:sz="4" w:space="0" w:color="auto"/>
              <w:bottom w:val="single" w:sz="4" w:space="0" w:color="auto"/>
            </w:tcBorders>
          </w:tcPr>
          <w:p w:rsidR="00FE1524" w:rsidRPr="00026CD9" w:rsidRDefault="00FE1524" w:rsidP="00133200">
            <w:pPr>
              <w:spacing w:line="360" w:lineRule="auto"/>
              <w:jc w:val="center"/>
              <w:rPr>
                <w:b/>
                <w:sz w:val="24"/>
                <w:szCs w:val="24"/>
              </w:rPr>
            </w:pPr>
            <w:r w:rsidRPr="00026CD9">
              <w:rPr>
                <w:b/>
                <w:sz w:val="24"/>
                <w:szCs w:val="24"/>
              </w:rPr>
              <w:t>2011</w:t>
            </w:r>
          </w:p>
          <w:p w:rsidR="00FE1524" w:rsidRPr="00026CD9" w:rsidRDefault="00FE1524" w:rsidP="00133200">
            <w:pPr>
              <w:spacing w:line="360" w:lineRule="auto"/>
              <w:jc w:val="center"/>
              <w:rPr>
                <w:b/>
                <w:sz w:val="24"/>
                <w:szCs w:val="24"/>
              </w:rPr>
            </w:pPr>
            <w:r w:rsidRPr="00026CD9">
              <w:rPr>
                <w:b/>
                <w:sz w:val="24"/>
                <w:szCs w:val="24"/>
              </w:rPr>
              <w:t>(mg/l)</w:t>
            </w:r>
          </w:p>
        </w:tc>
        <w:tc>
          <w:tcPr>
            <w:tcW w:w="1368" w:type="dxa"/>
            <w:tcBorders>
              <w:top w:val="single" w:sz="4" w:space="0" w:color="auto"/>
              <w:bottom w:val="single" w:sz="4" w:space="0" w:color="auto"/>
            </w:tcBorders>
          </w:tcPr>
          <w:p w:rsidR="00FE1524" w:rsidRPr="00026CD9" w:rsidRDefault="00FE1524" w:rsidP="00133200">
            <w:pPr>
              <w:spacing w:line="360" w:lineRule="auto"/>
              <w:jc w:val="center"/>
              <w:rPr>
                <w:b/>
                <w:sz w:val="24"/>
                <w:szCs w:val="24"/>
              </w:rPr>
            </w:pPr>
            <w:r w:rsidRPr="00026CD9">
              <w:rPr>
                <w:b/>
                <w:sz w:val="24"/>
                <w:szCs w:val="24"/>
              </w:rPr>
              <w:t>2012</w:t>
            </w:r>
          </w:p>
          <w:p w:rsidR="00FE1524" w:rsidRPr="00026CD9" w:rsidRDefault="00FE1524" w:rsidP="00133200">
            <w:pPr>
              <w:spacing w:line="360" w:lineRule="auto"/>
              <w:jc w:val="center"/>
              <w:rPr>
                <w:b/>
                <w:sz w:val="24"/>
                <w:szCs w:val="24"/>
              </w:rPr>
            </w:pPr>
            <w:r w:rsidRPr="00026CD9">
              <w:rPr>
                <w:b/>
                <w:sz w:val="24"/>
                <w:szCs w:val="24"/>
              </w:rPr>
              <w:t>(mg/l)</w:t>
            </w:r>
          </w:p>
        </w:tc>
      </w:tr>
      <w:tr w:rsidR="00FE1524" w:rsidRPr="00026CD9" w:rsidTr="00133200">
        <w:tc>
          <w:tcPr>
            <w:tcW w:w="1368" w:type="dxa"/>
            <w:tcBorders>
              <w:top w:val="single" w:sz="4" w:space="0" w:color="auto"/>
            </w:tcBorders>
          </w:tcPr>
          <w:p w:rsidR="00FE1524" w:rsidRPr="00026CD9" w:rsidRDefault="00FE1524" w:rsidP="00133200">
            <w:pPr>
              <w:spacing w:line="360" w:lineRule="auto"/>
              <w:rPr>
                <w:b/>
                <w:sz w:val="24"/>
                <w:szCs w:val="24"/>
              </w:rPr>
            </w:pPr>
            <w:r w:rsidRPr="00026CD9">
              <w:rPr>
                <w:b/>
                <w:sz w:val="24"/>
                <w:szCs w:val="24"/>
              </w:rPr>
              <w:t>NO3</w:t>
            </w:r>
          </w:p>
        </w:tc>
        <w:tc>
          <w:tcPr>
            <w:tcW w:w="1368" w:type="dxa"/>
            <w:tcBorders>
              <w:top w:val="single" w:sz="4" w:space="0" w:color="auto"/>
            </w:tcBorders>
            <w:vAlign w:val="bottom"/>
          </w:tcPr>
          <w:p w:rsidR="00FE1524" w:rsidRPr="00026CD9" w:rsidRDefault="00FE1524" w:rsidP="00133200">
            <w:pPr>
              <w:spacing w:line="360" w:lineRule="auto"/>
              <w:jc w:val="center"/>
              <w:rPr>
                <w:color w:val="000000"/>
                <w:sz w:val="24"/>
                <w:szCs w:val="24"/>
              </w:rPr>
            </w:pPr>
            <w:r w:rsidRPr="00026CD9">
              <w:rPr>
                <w:color w:val="000000"/>
                <w:sz w:val="24"/>
                <w:szCs w:val="24"/>
              </w:rPr>
              <w:t>27.46</w:t>
            </w:r>
          </w:p>
        </w:tc>
        <w:tc>
          <w:tcPr>
            <w:tcW w:w="1368" w:type="dxa"/>
            <w:tcBorders>
              <w:top w:val="single" w:sz="4" w:space="0" w:color="auto"/>
            </w:tcBorders>
            <w:vAlign w:val="bottom"/>
          </w:tcPr>
          <w:p w:rsidR="00FE1524" w:rsidRPr="00026CD9" w:rsidRDefault="00FE1524" w:rsidP="00133200">
            <w:pPr>
              <w:spacing w:line="360" w:lineRule="auto"/>
              <w:jc w:val="center"/>
              <w:rPr>
                <w:color w:val="000000"/>
                <w:sz w:val="24"/>
                <w:szCs w:val="24"/>
              </w:rPr>
            </w:pPr>
            <w:r w:rsidRPr="00026CD9">
              <w:rPr>
                <w:color w:val="000000"/>
                <w:sz w:val="24"/>
                <w:szCs w:val="24"/>
              </w:rPr>
              <w:t>26.10</w:t>
            </w:r>
          </w:p>
        </w:tc>
        <w:tc>
          <w:tcPr>
            <w:tcW w:w="1368" w:type="dxa"/>
            <w:tcBorders>
              <w:top w:val="single" w:sz="4" w:space="0" w:color="auto"/>
            </w:tcBorders>
            <w:vAlign w:val="bottom"/>
          </w:tcPr>
          <w:p w:rsidR="00FE1524" w:rsidRPr="00026CD9" w:rsidRDefault="00FE1524" w:rsidP="00133200">
            <w:pPr>
              <w:spacing w:line="360" w:lineRule="auto"/>
              <w:jc w:val="center"/>
              <w:rPr>
                <w:color w:val="000000"/>
                <w:sz w:val="24"/>
                <w:szCs w:val="24"/>
              </w:rPr>
            </w:pPr>
            <w:r w:rsidRPr="00026CD9">
              <w:rPr>
                <w:color w:val="000000"/>
                <w:sz w:val="24"/>
                <w:szCs w:val="24"/>
              </w:rPr>
              <w:t>26.19</w:t>
            </w:r>
          </w:p>
        </w:tc>
        <w:tc>
          <w:tcPr>
            <w:tcW w:w="1368" w:type="dxa"/>
            <w:tcBorders>
              <w:top w:val="single" w:sz="4" w:space="0" w:color="auto"/>
            </w:tcBorders>
            <w:vAlign w:val="bottom"/>
          </w:tcPr>
          <w:p w:rsidR="00FE1524" w:rsidRPr="00026CD9" w:rsidRDefault="00FE1524" w:rsidP="00133200">
            <w:pPr>
              <w:spacing w:line="360" w:lineRule="auto"/>
              <w:jc w:val="center"/>
              <w:rPr>
                <w:color w:val="000000"/>
                <w:sz w:val="24"/>
                <w:szCs w:val="24"/>
              </w:rPr>
            </w:pPr>
            <w:r w:rsidRPr="00026CD9">
              <w:rPr>
                <w:color w:val="000000"/>
                <w:sz w:val="24"/>
                <w:szCs w:val="24"/>
              </w:rPr>
              <w:t>30.16</w:t>
            </w:r>
          </w:p>
        </w:tc>
        <w:tc>
          <w:tcPr>
            <w:tcW w:w="1368" w:type="dxa"/>
            <w:tcBorders>
              <w:top w:val="single" w:sz="4" w:space="0" w:color="auto"/>
            </w:tcBorders>
            <w:vAlign w:val="bottom"/>
          </w:tcPr>
          <w:p w:rsidR="00FE1524" w:rsidRPr="00026CD9" w:rsidRDefault="00FE1524" w:rsidP="00133200">
            <w:pPr>
              <w:spacing w:line="360" w:lineRule="auto"/>
              <w:jc w:val="center"/>
              <w:rPr>
                <w:color w:val="000000"/>
                <w:sz w:val="24"/>
                <w:szCs w:val="24"/>
              </w:rPr>
            </w:pPr>
            <w:r w:rsidRPr="00026CD9">
              <w:rPr>
                <w:color w:val="000000"/>
                <w:sz w:val="24"/>
                <w:szCs w:val="24"/>
              </w:rPr>
              <w:t>23.08</w:t>
            </w:r>
          </w:p>
        </w:tc>
        <w:tc>
          <w:tcPr>
            <w:tcW w:w="1368" w:type="dxa"/>
            <w:tcBorders>
              <w:top w:val="single" w:sz="4" w:space="0" w:color="auto"/>
            </w:tcBorders>
            <w:vAlign w:val="bottom"/>
          </w:tcPr>
          <w:p w:rsidR="00FE1524" w:rsidRPr="00026CD9" w:rsidRDefault="00FE1524" w:rsidP="00133200">
            <w:pPr>
              <w:spacing w:line="360" w:lineRule="auto"/>
              <w:jc w:val="center"/>
              <w:rPr>
                <w:color w:val="000000"/>
                <w:sz w:val="24"/>
                <w:szCs w:val="24"/>
              </w:rPr>
            </w:pPr>
            <w:r w:rsidRPr="00026CD9">
              <w:rPr>
                <w:color w:val="000000"/>
                <w:sz w:val="24"/>
                <w:szCs w:val="24"/>
              </w:rPr>
              <w:t>24.29</w:t>
            </w:r>
          </w:p>
        </w:tc>
      </w:tr>
      <w:tr w:rsidR="00FE1524" w:rsidRPr="00026CD9" w:rsidTr="00133200">
        <w:tc>
          <w:tcPr>
            <w:tcW w:w="1368" w:type="dxa"/>
          </w:tcPr>
          <w:p w:rsidR="00FE1524" w:rsidRPr="00026CD9" w:rsidRDefault="00FE1524" w:rsidP="00133200">
            <w:pPr>
              <w:rPr>
                <w:b/>
                <w:sz w:val="24"/>
                <w:szCs w:val="24"/>
              </w:rPr>
            </w:pPr>
            <w:r w:rsidRPr="00026CD9">
              <w:rPr>
                <w:b/>
                <w:sz w:val="24"/>
                <w:szCs w:val="24"/>
              </w:rPr>
              <w:t>FC12</w:t>
            </w:r>
          </w:p>
        </w:tc>
        <w:tc>
          <w:tcPr>
            <w:tcW w:w="1368" w:type="dxa"/>
            <w:vAlign w:val="bottom"/>
          </w:tcPr>
          <w:p w:rsidR="00FE1524" w:rsidRPr="00026CD9" w:rsidRDefault="00FE1524" w:rsidP="00133200">
            <w:pPr>
              <w:jc w:val="center"/>
              <w:rPr>
                <w:color w:val="000000"/>
                <w:sz w:val="24"/>
                <w:szCs w:val="24"/>
              </w:rPr>
            </w:pPr>
            <w:r w:rsidRPr="00026CD9">
              <w:rPr>
                <w:color w:val="000000"/>
                <w:sz w:val="24"/>
                <w:szCs w:val="24"/>
              </w:rPr>
              <w:t>0.57</w:t>
            </w:r>
          </w:p>
        </w:tc>
        <w:tc>
          <w:tcPr>
            <w:tcW w:w="1368" w:type="dxa"/>
            <w:vAlign w:val="bottom"/>
          </w:tcPr>
          <w:p w:rsidR="00FE1524" w:rsidRPr="00026CD9" w:rsidRDefault="00FE1524" w:rsidP="00133200">
            <w:pPr>
              <w:jc w:val="center"/>
              <w:rPr>
                <w:color w:val="000000"/>
                <w:sz w:val="24"/>
                <w:szCs w:val="24"/>
              </w:rPr>
            </w:pPr>
            <w:r w:rsidRPr="00026CD9">
              <w:rPr>
                <w:color w:val="000000"/>
                <w:sz w:val="24"/>
                <w:szCs w:val="24"/>
              </w:rPr>
              <w:t>0.54</w:t>
            </w:r>
          </w:p>
        </w:tc>
        <w:tc>
          <w:tcPr>
            <w:tcW w:w="1368" w:type="dxa"/>
            <w:vAlign w:val="bottom"/>
          </w:tcPr>
          <w:p w:rsidR="00FE1524" w:rsidRPr="00026CD9" w:rsidRDefault="00FE1524" w:rsidP="00133200">
            <w:pPr>
              <w:jc w:val="center"/>
              <w:rPr>
                <w:color w:val="000000"/>
                <w:sz w:val="24"/>
                <w:szCs w:val="24"/>
              </w:rPr>
            </w:pPr>
            <w:r w:rsidRPr="00026CD9">
              <w:rPr>
                <w:color w:val="000000"/>
                <w:sz w:val="24"/>
                <w:szCs w:val="24"/>
              </w:rPr>
              <w:t>0.29</w:t>
            </w:r>
          </w:p>
        </w:tc>
        <w:tc>
          <w:tcPr>
            <w:tcW w:w="1368" w:type="dxa"/>
            <w:vAlign w:val="bottom"/>
          </w:tcPr>
          <w:p w:rsidR="00FE1524" w:rsidRPr="00026CD9" w:rsidRDefault="00FE1524" w:rsidP="00133200">
            <w:pPr>
              <w:jc w:val="center"/>
              <w:rPr>
                <w:color w:val="000000"/>
                <w:sz w:val="24"/>
                <w:szCs w:val="24"/>
              </w:rPr>
            </w:pPr>
            <w:r w:rsidRPr="00026CD9">
              <w:rPr>
                <w:color w:val="000000"/>
                <w:sz w:val="24"/>
                <w:szCs w:val="24"/>
              </w:rPr>
              <w:t>0.18</w:t>
            </w:r>
          </w:p>
        </w:tc>
        <w:tc>
          <w:tcPr>
            <w:tcW w:w="1368" w:type="dxa"/>
            <w:vAlign w:val="bottom"/>
          </w:tcPr>
          <w:p w:rsidR="00FE1524" w:rsidRPr="00026CD9" w:rsidRDefault="00FE1524" w:rsidP="00133200">
            <w:pPr>
              <w:jc w:val="center"/>
              <w:rPr>
                <w:color w:val="000000"/>
                <w:sz w:val="24"/>
                <w:szCs w:val="24"/>
              </w:rPr>
            </w:pPr>
            <w:r w:rsidRPr="00026CD9">
              <w:rPr>
                <w:color w:val="000000"/>
                <w:sz w:val="24"/>
                <w:szCs w:val="24"/>
              </w:rPr>
              <w:t>0.42</w:t>
            </w:r>
          </w:p>
        </w:tc>
        <w:tc>
          <w:tcPr>
            <w:tcW w:w="1368" w:type="dxa"/>
            <w:vAlign w:val="bottom"/>
          </w:tcPr>
          <w:p w:rsidR="00FE1524" w:rsidRPr="00026CD9" w:rsidRDefault="00FE1524" w:rsidP="00133200">
            <w:pPr>
              <w:jc w:val="center"/>
              <w:rPr>
                <w:color w:val="000000"/>
                <w:sz w:val="24"/>
                <w:szCs w:val="24"/>
              </w:rPr>
            </w:pPr>
            <w:r w:rsidRPr="00026CD9">
              <w:rPr>
                <w:color w:val="000000"/>
                <w:sz w:val="24"/>
                <w:szCs w:val="24"/>
              </w:rPr>
              <w:t>0.25</w:t>
            </w:r>
          </w:p>
        </w:tc>
      </w:tr>
    </w:tbl>
    <w:p w:rsidR="00FE1524" w:rsidRPr="00026CD9" w:rsidRDefault="00FE1524" w:rsidP="00FE1524">
      <w:pPr>
        <w:spacing w:line="480" w:lineRule="auto"/>
        <w:ind w:left="-90"/>
        <w:rPr>
          <w:sz w:val="24"/>
          <w:szCs w:val="24"/>
        </w:rPr>
      </w:pPr>
      <w:r w:rsidRPr="00026CD9">
        <w:rPr>
          <w:sz w:val="24"/>
          <w:szCs w:val="24"/>
        </w:rPr>
        <w:t>Source: The State Water Resource Control Board, 2009</w:t>
      </w:r>
    </w:p>
    <w:p w:rsidR="00FE1524" w:rsidRPr="00026CD9" w:rsidRDefault="000444A6" w:rsidP="00FE1524">
      <w:pPr>
        <w:spacing w:line="480" w:lineRule="auto"/>
        <w:ind w:left="-90" w:firstLine="810"/>
        <w:rPr>
          <w:sz w:val="24"/>
          <w:szCs w:val="24"/>
        </w:rPr>
      </w:pPr>
      <w:r>
        <w:rPr>
          <w:sz w:val="24"/>
          <w:szCs w:val="24"/>
        </w:rPr>
        <w:t>Table 5</w:t>
      </w:r>
      <w:r w:rsidR="00FE1524" w:rsidRPr="00026CD9">
        <w:rPr>
          <w:sz w:val="24"/>
          <w:szCs w:val="24"/>
        </w:rPr>
        <w:t xml:space="preserve"> demonstrates that in 2010, communities in Fresno County were exposed to the highest exposures of NO3 in their water system. This table, furthermore, demonstrates that in 2007, communities in Fresno County were exposed to the highest exposure of FC12 in their water system.</w:t>
      </w:r>
    </w:p>
    <w:p w:rsidR="00E21B22" w:rsidRPr="00DF132D" w:rsidRDefault="00026CD9" w:rsidP="00E21B22">
      <w:pPr>
        <w:spacing w:line="480" w:lineRule="auto"/>
        <w:jc w:val="center"/>
        <w:rPr>
          <w:sz w:val="24"/>
          <w:szCs w:val="24"/>
          <w:u w:val="single"/>
        </w:rPr>
      </w:pPr>
      <w:r w:rsidRPr="00DF132D">
        <w:rPr>
          <w:sz w:val="24"/>
          <w:szCs w:val="24"/>
          <w:u w:val="single"/>
        </w:rPr>
        <w:t>Discussion</w:t>
      </w:r>
    </w:p>
    <w:p w:rsidR="00B556CB" w:rsidRPr="00C876BF" w:rsidRDefault="00B556CB" w:rsidP="00B556CB">
      <w:pPr>
        <w:spacing w:line="480" w:lineRule="auto"/>
        <w:ind w:firstLine="720"/>
        <w:rPr>
          <w:sz w:val="24"/>
          <w:szCs w:val="24"/>
        </w:rPr>
      </w:pPr>
      <w:r w:rsidRPr="00C876BF">
        <w:rPr>
          <w:sz w:val="24"/>
          <w:szCs w:val="24"/>
        </w:rPr>
        <w:t>The researcher found that a disproportionate number of Latino and African American children under the age of 18 are more likely to live below poverty level in communities with zip codes 93706 and 93702 in Fresno County</w:t>
      </w:r>
      <w:r w:rsidR="00AF2330">
        <w:rPr>
          <w:sz w:val="24"/>
          <w:szCs w:val="24"/>
        </w:rPr>
        <w:t xml:space="preserve"> </w:t>
      </w:r>
      <w:r w:rsidRPr="00C876BF">
        <w:rPr>
          <w:sz w:val="24"/>
          <w:szCs w:val="24"/>
        </w:rPr>
        <w:t>(United States Bureau, 2010). Children under the age of eighteen composed 46.49% of the population who live below the poverty level in communities with zip code 93706. For communities with zip code 93702, children under the age of eighteen composed 47.25% of the population who lived below the poverty level.</w:t>
      </w:r>
      <w:r w:rsidR="00026CD9">
        <w:rPr>
          <w:sz w:val="24"/>
          <w:szCs w:val="24"/>
        </w:rPr>
        <w:t xml:space="preserve"> </w:t>
      </w:r>
      <w:r w:rsidRPr="00C876BF">
        <w:rPr>
          <w:sz w:val="24"/>
          <w:szCs w:val="24"/>
        </w:rPr>
        <w:t xml:space="preserve">Communities with zip code 93706 and 93702, furthermore, have a higher percentage of individuals residing below poverty levels when compared to </w:t>
      </w:r>
      <w:r w:rsidR="00026CD9">
        <w:rPr>
          <w:sz w:val="24"/>
          <w:szCs w:val="24"/>
        </w:rPr>
        <w:t xml:space="preserve">the rest of </w:t>
      </w:r>
      <w:r w:rsidRPr="00C876BF">
        <w:rPr>
          <w:sz w:val="24"/>
          <w:szCs w:val="24"/>
        </w:rPr>
        <w:t>Fresno Count</w:t>
      </w:r>
      <w:r>
        <w:rPr>
          <w:sz w:val="24"/>
          <w:szCs w:val="24"/>
        </w:rPr>
        <w:t xml:space="preserve">y and the State of California. </w:t>
      </w:r>
    </w:p>
    <w:p w:rsidR="00B556CB" w:rsidRPr="00C876BF" w:rsidRDefault="00B556CB" w:rsidP="00B556CB">
      <w:pPr>
        <w:spacing w:line="480" w:lineRule="auto"/>
        <w:ind w:firstLine="720"/>
        <w:rPr>
          <w:sz w:val="24"/>
          <w:szCs w:val="24"/>
        </w:rPr>
      </w:pPr>
      <w:r w:rsidRPr="00C876BF">
        <w:rPr>
          <w:sz w:val="24"/>
          <w:szCs w:val="24"/>
        </w:rPr>
        <w:t xml:space="preserve">The results also </w:t>
      </w:r>
      <w:r w:rsidR="00026CD9">
        <w:rPr>
          <w:sz w:val="24"/>
          <w:szCs w:val="24"/>
        </w:rPr>
        <w:t>suggests</w:t>
      </w:r>
      <w:r w:rsidRPr="00C876BF">
        <w:rPr>
          <w:sz w:val="24"/>
          <w:szCs w:val="24"/>
        </w:rPr>
        <w:t xml:space="preserve"> that Fresno County’s highest percentage of substantiated child maltreatment allegations from 2010-2012 consisted of general neglect. Although this category of </w:t>
      </w:r>
      <w:r w:rsidRPr="00C876BF">
        <w:rPr>
          <w:sz w:val="24"/>
          <w:szCs w:val="24"/>
        </w:rPr>
        <w:lastRenderedPageBreak/>
        <w:t>child maltreatment allegations is also the most common for the State of California as a whole, the rate at which it occurred in Fresno County is higher than the rate at which it</w:t>
      </w:r>
      <w:r w:rsidR="00026CD9">
        <w:rPr>
          <w:sz w:val="24"/>
          <w:szCs w:val="24"/>
        </w:rPr>
        <w:t xml:space="preserve"> </w:t>
      </w:r>
      <w:r w:rsidRPr="00C876BF">
        <w:rPr>
          <w:sz w:val="24"/>
          <w:szCs w:val="24"/>
        </w:rPr>
        <w:t>occurred in the State of California; general neglect in Fresno County averaged 49.70% of all child maltreatment allegations from 2010-2012, while general neglect in the State of California averaged 44.81% in the same time period. Likewise, the second highest category of child maltreatment allegations for both Fresno County and the State of California from 2010-2012, at risk sibling, follows the same trend, with the average rate in Fresno County being 22.13% of all allegations and the average rate in the State of California being 14.09% of all allegations. Generally, the siblings who reside in the same household of children who had a child maltreatment allegation substantiated fall into the category of at risk sibling. The researcher, therefore, hypothesizes that children who fall into the at risk sibling category are likely to be due to child maltreatment allegations of general neglect.</w:t>
      </w:r>
    </w:p>
    <w:p w:rsidR="00B556CB" w:rsidRPr="00C876BF" w:rsidRDefault="00B556CB" w:rsidP="00B556CB">
      <w:pPr>
        <w:spacing w:line="480" w:lineRule="auto"/>
        <w:ind w:firstLine="720"/>
        <w:rPr>
          <w:sz w:val="24"/>
          <w:szCs w:val="24"/>
        </w:rPr>
      </w:pPr>
      <w:r w:rsidRPr="00C876BF">
        <w:rPr>
          <w:sz w:val="24"/>
          <w:szCs w:val="24"/>
        </w:rPr>
        <w:t xml:space="preserve">The researcher also found that communities with zip codes 93706 and 93702 had by far more substantiated child maltreatment referrals than communities with zip codes 93720 and 93611. Zip code 93706 had 172 substantiated child maltreatment referrals in 2013, while zip code 93702 had 255 substantiated referrals. Meanwhile, zip codes 93720 and 93611 had 36 and 48 substantiated child maltreatment referrals, respectively. From the above-mentioned results, it can therefore be theorized that a large percentage of the substantiated child maltreatment allegations are likely to be due to general neglect. </w:t>
      </w:r>
    </w:p>
    <w:p w:rsidR="00B556CB" w:rsidRPr="00C876BF" w:rsidRDefault="00B556CB" w:rsidP="00B556CB">
      <w:pPr>
        <w:spacing w:line="480" w:lineRule="auto"/>
        <w:rPr>
          <w:i/>
          <w:sz w:val="24"/>
          <w:szCs w:val="24"/>
        </w:rPr>
      </w:pPr>
      <w:r w:rsidRPr="00C876BF">
        <w:rPr>
          <w:i/>
          <w:sz w:val="24"/>
          <w:szCs w:val="24"/>
        </w:rPr>
        <w:t>Relationships to Environmental Factors</w:t>
      </w:r>
    </w:p>
    <w:p w:rsidR="00B556CB" w:rsidRDefault="00B556CB" w:rsidP="00B556CB">
      <w:pPr>
        <w:spacing w:line="480" w:lineRule="auto"/>
        <w:ind w:firstLine="720"/>
        <w:rPr>
          <w:sz w:val="24"/>
          <w:szCs w:val="24"/>
        </w:rPr>
      </w:pPr>
      <w:r w:rsidRPr="00C876BF">
        <w:rPr>
          <w:sz w:val="24"/>
          <w:szCs w:val="24"/>
        </w:rPr>
        <w:t xml:space="preserve">These results indicate that children of Latino and African American descent who reside in communities with zip code 93706 and 93702 are most likely to live below poverty levels and are at a higher risk of substantiated child maltreatment allegations. Poverty can lead to higher stress </w:t>
      </w:r>
      <w:r w:rsidRPr="00C876BF">
        <w:rPr>
          <w:sz w:val="24"/>
          <w:szCs w:val="24"/>
        </w:rPr>
        <w:lastRenderedPageBreak/>
        <w:t xml:space="preserve">levels, lower educational attainment, less ideal housing situations, and fewer employment opportunities. Individuals who reside in communities with poor environmental factors, such as communities with zip code 93706 and 93702, have to furthermore endure bad air and water quality that can lead to respiratory illnesses such as bronchitis, shortness of breath, and asthma. Consequently, these parents are most likely to be employed in blue collar jobs that are not flexible with hourly schedules, thus potentially not allowing parents to follow up with doctor appointments for children who have chronic respiratory illnesses. These parents are thus left with an ultimatum of either losing one day’s pay or missing a doctor’s follow up appointment for a child with chronic respiratory illness. In the eyes of medical professionals, however, the medical concern is a priority that must be attended. From their perspective, missing a follow up appointments for a child who is suffering from asthma, shortness of breath or bronchitis, which can lead to premature deaths, is a priority. </w:t>
      </w:r>
    </w:p>
    <w:p w:rsidR="00B556CB" w:rsidRPr="005840A7" w:rsidRDefault="00B556CB" w:rsidP="005840A7">
      <w:pPr>
        <w:spacing w:line="480" w:lineRule="auto"/>
        <w:jc w:val="center"/>
        <w:rPr>
          <w:sz w:val="24"/>
          <w:szCs w:val="24"/>
          <w:u w:val="single"/>
        </w:rPr>
      </w:pPr>
      <w:r w:rsidRPr="005840A7">
        <w:rPr>
          <w:sz w:val="24"/>
          <w:szCs w:val="24"/>
          <w:u w:val="single"/>
        </w:rPr>
        <w:t>Conclusion/Policy Implications</w:t>
      </w:r>
    </w:p>
    <w:p w:rsidR="00B556CB" w:rsidRPr="00C876BF" w:rsidRDefault="00B556CB" w:rsidP="00B556CB">
      <w:pPr>
        <w:spacing w:line="480" w:lineRule="auto"/>
        <w:rPr>
          <w:i/>
          <w:sz w:val="24"/>
          <w:szCs w:val="24"/>
        </w:rPr>
      </w:pPr>
      <w:r w:rsidRPr="00C876BF">
        <w:rPr>
          <w:i/>
          <w:sz w:val="24"/>
          <w:szCs w:val="24"/>
        </w:rPr>
        <w:tab/>
      </w:r>
      <w:r w:rsidRPr="00C876BF">
        <w:rPr>
          <w:sz w:val="24"/>
          <w:szCs w:val="24"/>
        </w:rPr>
        <w:t>Poverty and equal distribution of resources is a societal problem that everyone must engage in order to create a just environment for everyone. As social workers, we must then advocate for</w:t>
      </w:r>
      <w:r>
        <w:rPr>
          <w:sz w:val="24"/>
          <w:szCs w:val="24"/>
        </w:rPr>
        <w:t xml:space="preserve"> policy changes and</w:t>
      </w:r>
      <w:r w:rsidRPr="00C876BF">
        <w:rPr>
          <w:sz w:val="24"/>
          <w:szCs w:val="24"/>
        </w:rPr>
        <w:t xml:space="preserve"> preventative programs that can alleviate the disparities between the poor and the wealthy. One’s environment can influence an individual’s educational attainment, health, life expectancy, conflict resolution, development, and behavior (Waldfogel, 2005). One’s environment may also, unfortunately, lead to child maltreatment allegations which can have a detrimental impact on the life of a child. </w:t>
      </w:r>
      <w:r w:rsidR="00026CD9">
        <w:rPr>
          <w:sz w:val="24"/>
          <w:szCs w:val="24"/>
        </w:rPr>
        <w:t>S</w:t>
      </w:r>
      <w:r w:rsidRPr="00C876BF">
        <w:rPr>
          <w:sz w:val="24"/>
          <w:szCs w:val="24"/>
        </w:rPr>
        <w:t xml:space="preserve">ocial </w:t>
      </w:r>
      <w:r w:rsidR="00AF2330" w:rsidRPr="00C876BF">
        <w:rPr>
          <w:sz w:val="24"/>
          <w:szCs w:val="24"/>
        </w:rPr>
        <w:t>workers</w:t>
      </w:r>
      <w:r w:rsidRPr="00C876BF">
        <w:rPr>
          <w:sz w:val="24"/>
          <w:szCs w:val="24"/>
        </w:rPr>
        <w:t xml:space="preserve"> must therefore understand these implications and advocate on behalf of our clients who are often residing in impoverished communities with bad air and water quality. </w:t>
      </w:r>
      <w:r w:rsidRPr="00C876BF">
        <w:rPr>
          <w:i/>
          <w:sz w:val="24"/>
          <w:szCs w:val="24"/>
        </w:rPr>
        <w:tab/>
      </w:r>
    </w:p>
    <w:p w:rsidR="00A948E9" w:rsidRDefault="00A948E9" w:rsidP="00AB44D0"/>
    <w:p w:rsidR="00804098" w:rsidRDefault="00804098" w:rsidP="00AB44D0"/>
    <w:p w:rsidR="00A948E9" w:rsidRDefault="00A948E9" w:rsidP="00AB44D0"/>
    <w:p w:rsidR="00A948E9" w:rsidRDefault="00A948E9" w:rsidP="00A948E9">
      <w:pPr>
        <w:jc w:val="center"/>
        <w:rPr>
          <w:b/>
          <w:sz w:val="24"/>
          <w:szCs w:val="24"/>
        </w:rPr>
      </w:pPr>
      <w:r w:rsidRPr="0094651B">
        <w:rPr>
          <w:b/>
          <w:sz w:val="24"/>
          <w:szCs w:val="24"/>
        </w:rPr>
        <w:lastRenderedPageBreak/>
        <w:t>REFERENCES</w:t>
      </w:r>
    </w:p>
    <w:p w:rsidR="00A948E9" w:rsidRDefault="00A948E9" w:rsidP="00A948E9">
      <w:pPr>
        <w:jc w:val="center"/>
        <w:rPr>
          <w:b/>
          <w:sz w:val="24"/>
          <w:szCs w:val="24"/>
        </w:rPr>
      </w:pPr>
    </w:p>
    <w:p w:rsidR="00A948E9" w:rsidRPr="006F6B4E" w:rsidRDefault="00A948E9" w:rsidP="00A948E9">
      <w:pPr>
        <w:spacing w:line="480" w:lineRule="auto"/>
        <w:ind w:left="720" w:hanging="720"/>
        <w:rPr>
          <w:sz w:val="24"/>
          <w:szCs w:val="24"/>
        </w:rPr>
      </w:pPr>
      <w:r w:rsidRPr="006F6B4E">
        <w:rPr>
          <w:sz w:val="24"/>
          <w:szCs w:val="24"/>
        </w:rPr>
        <w:t xml:space="preserve">Boerner, C. B., &amp; Lambert, T. L. (1995).Environmental </w:t>
      </w:r>
      <w:r w:rsidR="005840A7" w:rsidRPr="006F6B4E">
        <w:rPr>
          <w:sz w:val="24"/>
          <w:szCs w:val="24"/>
        </w:rPr>
        <w:t>injustice.</w:t>
      </w:r>
      <w:r w:rsidR="005840A7" w:rsidRPr="006F6B4E">
        <w:rPr>
          <w:i/>
          <w:iCs/>
          <w:sz w:val="24"/>
          <w:szCs w:val="24"/>
        </w:rPr>
        <w:t xml:space="preserve"> Public</w:t>
      </w:r>
      <w:r w:rsidRPr="006F6B4E">
        <w:rPr>
          <w:i/>
          <w:iCs/>
          <w:sz w:val="24"/>
          <w:szCs w:val="24"/>
        </w:rPr>
        <w:t xml:space="preserve"> Interest</w:t>
      </w:r>
      <w:r w:rsidRPr="006F6B4E">
        <w:rPr>
          <w:sz w:val="24"/>
          <w:szCs w:val="24"/>
        </w:rPr>
        <w:t xml:space="preserve">, </w:t>
      </w:r>
      <w:r w:rsidRPr="006F6B4E">
        <w:rPr>
          <w:i/>
          <w:iCs/>
          <w:sz w:val="24"/>
          <w:szCs w:val="24"/>
        </w:rPr>
        <w:t>118</w:t>
      </w:r>
      <w:r w:rsidRPr="006F6B4E">
        <w:rPr>
          <w:sz w:val="24"/>
          <w:szCs w:val="24"/>
        </w:rPr>
        <w:t xml:space="preserve">, 61-82. </w:t>
      </w:r>
    </w:p>
    <w:p w:rsidR="00A948E9" w:rsidRPr="006F6B4E" w:rsidRDefault="00A948E9" w:rsidP="00A948E9">
      <w:pPr>
        <w:spacing w:line="480" w:lineRule="auto"/>
        <w:ind w:left="720" w:hanging="720"/>
        <w:rPr>
          <w:sz w:val="24"/>
          <w:szCs w:val="24"/>
        </w:rPr>
      </w:pPr>
      <w:r w:rsidRPr="006F6B4E">
        <w:rPr>
          <w:sz w:val="24"/>
          <w:szCs w:val="24"/>
        </w:rPr>
        <w:t xml:space="preserve">Cornell University. (2008). </w:t>
      </w:r>
      <w:r w:rsidRPr="006F6B4E">
        <w:rPr>
          <w:i/>
          <w:iCs/>
          <w:sz w:val="24"/>
          <w:szCs w:val="24"/>
        </w:rPr>
        <w:t>Pesticide information profile ddt (dichlorodiphenyltrichloroethane)</w:t>
      </w:r>
      <w:r w:rsidRPr="006F6B4E">
        <w:rPr>
          <w:sz w:val="24"/>
          <w:szCs w:val="24"/>
        </w:rPr>
        <w:t xml:space="preserve">. Retrieved October 14, 2013 from </w:t>
      </w:r>
      <w:hyperlink r:id="rId8" w:history="1">
        <w:r w:rsidRPr="00A948E9">
          <w:rPr>
            <w:rStyle w:val="Hyperlink"/>
            <w:color w:val="auto"/>
            <w:sz w:val="24"/>
            <w:szCs w:val="24"/>
            <w:u w:val="none"/>
          </w:rPr>
          <w:t>http://pmep.cce.cornell.edu/profiles/extoxnet/carbaryl-dicrotophos/ddt-ext.html</w:t>
        </w:r>
      </w:hyperlink>
    </w:p>
    <w:p w:rsidR="00A948E9" w:rsidRDefault="00A948E9" w:rsidP="00A948E9"/>
    <w:p w:rsidR="00A948E9" w:rsidRPr="006F6B4E" w:rsidRDefault="00A948E9" w:rsidP="00A948E9">
      <w:pPr>
        <w:spacing w:line="480" w:lineRule="auto"/>
        <w:ind w:left="720" w:hanging="720"/>
        <w:rPr>
          <w:sz w:val="24"/>
          <w:szCs w:val="24"/>
        </w:rPr>
      </w:pPr>
      <w:r w:rsidRPr="006F6B4E">
        <w:rPr>
          <w:sz w:val="24"/>
          <w:szCs w:val="24"/>
        </w:rPr>
        <w:t xml:space="preserve">Coulton, C. J. C., Korbin, J. E. K., Su, M. S., &amp; Chow, J. C. (1995). Community level factors and child maltreatment rates. </w:t>
      </w:r>
      <w:r w:rsidRPr="006F6B4E">
        <w:rPr>
          <w:i/>
          <w:sz w:val="24"/>
          <w:szCs w:val="24"/>
        </w:rPr>
        <w:t>Child Development</w:t>
      </w:r>
      <w:r w:rsidRPr="006F6B4E">
        <w:rPr>
          <w:sz w:val="24"/>
          <w:szCs w:val="24"/>
        </w:rPr>
        <w:t>, 66, 1262-1276.</w:t>
      </w:r>
    </w:p>
    <w:p w:rsidR="00A948E9" w:rsidRPr="006F6B4E" w:rsidRDefault="00A948E9" w:rsidP="00A948E9">
      <w:pPr>
        <w:spacing w:line="480" w:lineRule="auto"/>
        <w:ind w:left="720" w:hanging="720"/>
        <w:rPr>
          <w:sz w:val="24"/>
          <w:szCs w:val="24"/>
        </w:rPr>
      </w:pPr>
      <w:r w:rsidRPr="006F6B4E">
        <w:rPr>
          <w:sz w:val="24"/>
          <w:szCs w:val="24"/>
        </w:rPr>
        <w:t xml:space="preserve">Hecht, D. B., &amp; Hansen, D. J. (2001). The environment of child maltreatment contextual factors and the development of psychopathology. </w:t>
      </w:r>
      <w:r w:rsidRPr="006F6B4E">
        <w:rPr>
          <w:i/>
          <w:iCs/>
          <w:sz w:val="24"/>
          <w:szCs w:val="24"/>
        </w:rPr>
        <w:t>Aggression and Violent Behavior</w:t>
      </w:r>
      <w:r w:rsidRPr="006F6B4E">
        <w:rPr>
          <w:sz w:val="24"/>
          <w:szCs w:val="24"/>
        </w:rPr>
        <w:t xml:space="preserve">, </w:t>
      </w:r>
      <w:r w:rsidRPr="006F6B4E">
        <w:rPr>
          <w:i/>
          <w:iCs/>
          <w:sz w:val="24"/>
          <w:szCs w:val="24"/>
        </w:rPr>
        <w:t>6</w:t>
      </w:r>
      <w:r w:rsidRPr="006F6B4E">
        <w:rPr>
          <w:sz w:val="24"/>
          <w:szCs w:val="24"/>
        </w:rPr>
        <w:t xml:space="preserve">, 433-457. </w:t>
      </w:r>
    </w:p>
    <w:p w:rsidR="00A948E9" w:rsidRPr="006F6B4E" w:rsidRDefault="00A948E9" w:rsidP="00A948E9">
      <w:pPr>
        <w:spacing w:line="480" w:lineRule="auto"/>
        <w:rPr>
          <w:sz w:val="24"/>
          <w:szCs w:val="24"/>
        </w:rPr>
      </w:pPr>
      <w:r w:rsidRPr="006F6B4E">
        <w:rPr>
          <w:sz w:val="24"/>
          <w:szCs w:val="24"/>
        </w:rPr>
        <w:t xml:space="preserve">Needell, B., Webster, D., Armijo, M., Lee, S., Dawson, W., Magruder, J., Exel, M., </w:t>
      </w:r>
    </w:p>
    <w:p w:rsidR="00A948E9" w:rsidRPr="006F6B4E" w:rsidRDefault="00A948E9" w:rsidP="00A948E9">
      <w:pPr>
        <w:spacing w:line="480" w:lineRule="auto"/>
        <w:ind w:firstLine="720"/>
        <w:rPr>
          <w:sz w:val="24"/>
          <w:szCs w:val="24"/>
        </w:rPr>
      </w:pPr>
      <w:r w:rsidRPr="006F6B4E">
        <w:rPr>
          <w:sz w:val="24"/>
          <w:szCs w:val="24"/>
        </w:rPr>
        <w:t xml:space="preserve">Cuccaro-Alamin, S., Putnam-Hornstein, E., Williams, D., Yee, H., Hightower, L., </w:t>
      </w:r>
    </w:p>
    <w:p w:rsidR="00A948E9" w:rsidRPr="006F6B4E" w:rsidRDefault="00A948E9" w:rsidP="00A948E9">
      <w:pPr>
        <w:spacing w:line="480" w:lineRule="auto"/>
        <w:ind w:left="720"/>
        <w:rPr>
          <w:sz w:val="24"/>
          <w:szCs w:val="24"/>
        </w:rPr>
      </w:pPr>
      <w:r w:rsidRPr="006F6B4E">
        <w:rPr>
          <w:sz w:val="24"/>
          <w:szCs w:val="24"/>
        </w:rPr>
        <w:t xml:space="preserve">Mason, F., Lou, C., Peng, C., King, B., &amp; Lawson, J. (2013). </w:t>
      </w:r>
    </w:p>
    <w:p w:rsidR="00A948E9" w:rsidRDefault="00A948E9" w:rsidP="00A948E9">
      <w:pPr>
        <w:tabs>
          <w:tab w:val="left" w:pos="720"/>
        </w:tabs>
        <w:spacing w:line="480" w:lineRule="auto"/>
        <w:ind w:left="720" w:hanging="720"/>
        <w:rPr>
          <w:sz w:val="24"/>
          <w:szCs w:val="24"/>
        </w:rPr>
      </w:pPr>
      <w:r w:rsidRPr="006F6B4E">
        <w:rPr>
          <w:sz w:val="24"/>
          <w:szCs w:val="24"/>
        </w:rPr>
        <w:tab/>
      </w:r>
      <w:r w:rsidRPr="006F6B4E">
        <w:rPr>
          <w:i/>
          <w:sz w:val="24"/>
          <w:szCs w:val="24"/>
        </w:rPr>
        <w:t>Child Welfare Services Reports for California.</w:t>
      </w:r>
      <w:r w:rsidRPr="006F6B4E">
        <w:rPr>
          <w:sz w:val="24"/>
          <w:szCs w:val="24"/>
        </w:rPr>
        <w:t xml:space="preserve"> University of California at Berkeley Center for Social Services Research website.  Retrieved from  </w:t>
      </w:r>
      <w:hyperlink r:id="rId9" w:history="1">
        <w:r w:rsidRPr="00A948E9">
          <w:rPr>
            <w:rStyle w:val="Hyperlink"/>
            <w:color w:val="auto"/>
            <w:sz w:val="24"/>
            <w:szCs w:val="24"/>
            <w:u w:val="none"/>
          </w:rPr>
          <w:t>http://cssr.berkeley.edu/ucb_childwelfare</w:t>
        </w:r>
      </w:hyperlink>
    </w:p>
    <w:p w:rsidR="002453BC" w:rsidRDefault="002453BC" w:rsidP="00A948E9">
      <w:pPr>
        <w:tabs>
          <w:tab w:val="left" w:pos="720"/>
        </w:tabs>
        <w:spacing w:line="480" w:lineRule="auto"/>
        <w:ind w:left="720" w:hanging="720"/>
        <w:rPr>
          <w:sz w:val="24"/>
          <w:szCs w:val="24"/>
        </w:rPr>
      </w:pPr>
      <w:r w:rsidRPr="006F6B4E">
        <w:rPr>
          <w:sz w:val="24"/>
          <w:szCs w:val="24"/>
        </w:rPr>
        <w:t>Payne, H. (1997). Environmental injustice .</w:t>
      </w:r>
      <w:r w:rsidRPr="006F6B4E">
        <w:rPr>
          <w:i/>
          <w:iCs/>
          <w:sz w:val="24"/>
          <w:szCs w:val="24"/>
        </w:rPr>
        <w:t>Academic Search Premier</w:t>
      </w:r>
      <w:r w:rsidRPr="006F6B4E">
        <w:rPr>
          <w:sz w:val="24"/>
          <w:szCs w:val="24"/>
        </w:rPr>
        <w:t xml:space="preserve">, </w:t>
      </w:r>
      <w:r w:rsidRPr="006F6B4E">
        <w:rPr>
          <w:i/>
          <w:iCs/>
          <w:sz w:val="24"/>
          <w:szCs w:val="24"/>
        </w:rPr>
        <w:t>29</w:t>
      </w:r>
      <w:r w:rsidRPr="006F6B4E">
        <w:rPr>
          <w:sz w:val="24"/>
          <w:szCs w:val="24"/>
        </w:rPr>
        <w:t>(4), 53-58.</w:t>
      </w:r>
    </w:p>
    <w:p w:rsidR="002453BC" w:rsidRPr="006F6B4E" w:rsidRDefault="002453BC" w:rsidP="002453BC">
      <w:pPr>
        <w:spacing w:line="480" w:lineRule="auto"/>
        <w:rPr>
          <w:sz w:val="24"/>
          <w:szCs w:val="24"/>
        </w:rPr>
      </w:pPr>
      <w:r w:rsidRPr="006F6B4E">
        <w:rPr>
          <w:sz w:val="24"/>
          <w:szCs w:val="24"/>
        </w:rPr>
        <w:t xml:space="preserve">Sze, J. (2006). Environmental injustice: Local and global. </w:t>
      </w:r>
      <w:r w:rsidRPr="006F6B4E">
        <w:rPr>
          <w:i/>
          <w:sz w:val="24"/>
          <w:szCs w:val="24"/>
        </w:rPr>
        <w:t>JSTOR</w:t>
      </w:r>
      <w:r w:rsidRPr="006F6B4E">
        <w:rPr>
          <w:sz w:val="24"/>
          <w:szCs w:val="24"/>
        </w:rPr>
        <w:t>, 47(1), 201-202.</w:t>
      </w:r>
    </w:p>
    <w:p w:rsidR="002453BC" w:rsidRDefault="002453BC" w:rsidP="002453BC">
      <w:pPr>
        <w:spacing w:line="480" w:lineRule="auto"/>
        <w:ind w:left="630" w:hanging="630"/>
        <w:rPr>
          <w:sz w:val="24"/>
          <w:szCs w:val="24"/>
        </w:rPr>
      </w:pPr>
      <w:r w:rsidRPr="006F6B4E">
        <w:rPr>
          <w:sz w:val="24"/>
          <w:szCs w:val="24"/>
        </w:rPr>
        <w:t xml:space="preserve">United States Census Bureau. (2010). </w:t>
      </w:r>
      <w:r w:rsidRPr="006F6B4E">
        <w:rPr>
          <w:i/>
          <w:iCs/>
          <w:sz w:val="24"/>
          <w:szCs w:val="24"/>
        </w:rPr>
        <w:t>Poverty rates</w:t>
      </w:r>
      <w:r w:rsidRPr="006F6B4E">
        <w:rPr>
          <w:sz w:val="24"/>
          <w:szCs w:val="24"/>
        </w:rPr>
        <w:t>. Retrieved from  factfinder2.census.gov/faces/nav/jsf/pages/guided_search.xhtml</w:t>
      </w:r>
    </w:p>
    <w:p w:rsidR="002453BC" w:rsidRPr="006F6B4E" w:rsidRDefault="002453BC" w:rsidP="002453BC">
      <w:pPr>
        <w:spacing w:line="480" w:lineRule="auto"/>
        <w:rPr>
          <w:sz w:val="24"/>
          <w:szCs w:val="24"/>
        </w:rPr>
      </w:pPr>
      <w:r w:rsidRPr="006F6B4E">
        <w:rPr>
          <w:sz w:val="24"/>
          <w:szCs w:val="24"/>
        </w:rPr>
        <w:t>Waldfogel, J. W. (2005). Income and child maltreatment.</w:t>
      </w:r>
      <w:r w:rsidRPr="006F6B4E">
        <w:rPr>
          <w:i/>
          <w:sz w:val="24"/>
          <w:szCs w:val="24"/>
        </w:rPr>
        <w:t>Pergamon</w:t>
      </w:r>
      <w:r w:rsidRPr="006F6B4E">
        <w:rPr>
          <w:sz w:val="24"/>
          <w:szCs w:val="24"/>
        </w:rPr>
        <w:t>, 29, 101-102.</w:t>
      </w:r>
    </w:p>
    <w:p w:rsidR="002453BC" w:rsidRPr="006F6B4E" w:rsidRDefault="002453BC" w:rsidP="002453BC">
      <w:pPr>
        <w:spacing w:line="480" w:lineRule="auto"/>
        <w:ind w:left="630" w:hanging="630"/>
        <w:rPr>
          <w:sz w:val="24"/>
          <w:szCs w:val="24"/>
        </w:rPr>
      </w:pPr>
    </w:p>
    <w:p w:rsidR="00A948E9" w:rsidRDefault="00A948E9" w:rsidP="00A948E9"/>
    <w:sectPr w:rsidR="00A948E9" w:rsidSect="00665C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6E" w:rsidRDefault="0065066E" w:rsidP="001B3F2B">
      <w:r>
        <w:separator/>
      </w:r>
    </w:p>
  </w:endnote>
  <w:endnote w:type="continuationSeparator" w:id="0">
    <w:p w:rsidR="0065066E" w:rsidRDefault="0065066E" w:rsidP="001B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92300"/>
      <w:docPartObj>
        <w:docPartGallery w:val="Page Numbers (Bottom of Page)"/>
        <w:docPartUnique/>
      </w:docPartObj>
    </w:sdtPr>
    <w:sdtEndPr>
      <w:rPr>
        <w:noProof/>
      </w:rPr>
    </w:sdtEndPr>
    <w:sdtContent>
      <w:p w:rsidR="002E34C5" w:rsidRDefault="00121383">
        <w:pPr>
          <w:pStyle w:val="Footer"/>
          <w:jc w:val="center"/>
        </w:pPr>
        <w:r>
          <w:fldChar w:fldCharType="begin"/>
        </w:r>
        <w:r>
          <w:instrText xml:space="preserve"> PAGE   \* MERGEFORMAT </w:instrText>
        </w:r>
        <w:r>
          <w:fldChar w:fldCharType="separate"/>
        </w:r>
        <w:r w:rsidR="005840A7">
          <w:rPr>
            <w:noProof/>
          </w:rPr>
          <w:t>1</w:t>
        </w:r>
        <w:r>
          <w:rPr>
            <w:noProof/>
          </w:rPr>
          <w:fldChar w:fldCharType="end"/>
        </w:r>
      </w:p>
    </w:sdtContent>
  </w:sdt>
  <w:p w:rsidR="002E34C5" w:rsidRDefault="002E3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6E" w:rsidRDefault="0065066E" w:rsidP="001B3F2B">
      <w:r>
        <w:separator/>
      </w:r>
    </w:p>
  </w:footnote>
  <w:footnote w:type="continuationSeparator" w:id="0">
    <w:p w:rsidR="0065066E" w:rsidRDefault="0065066E" w:rsidP="001B3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D0"/>
    <w:rsid w:val="00005F60"/>
    <w:rsid w:val="00026CD9"/>
    <w:rsid w:val="00033E20"/>
    <w:rsid w:val="000368B9"/>
    <w:rsid w:val="000444A6"/>
    <w:rsid w:val="0008256D"/>
    <w:rsid w:val="000E20AE"/>
    <w:rsid w:val="000E3F57"/>
    <w:rsid w:val="00121383"/>
    <w:rsid w:val="001672DE"/>
    <w:rsid w:val="00173608"/>
    <w:rsid w:val="001958B6"/>
    <w:rsid w:val="001B3F2B"/>
    <w:rsid w:val="00217FDB"/>
    <w:rsid w:val="00221263"/>
    <w:rsid w:val="0024130D"/>
    <w:rsid w:val="002453BC"/>
    <w:rsid w:val="00273B65"/>
    <w:rsid w:val="00293EC8"/>
    <w:rsid w:val="00296495"/>
    <w:rsid w:val="002E34C5"/>
    <w:rsid w:val="003404BC"/>
    <w:rsid w:val="00382E10"/>
    <w:rsid w:val="003D3B45"/>
    <w:rsid w:val="003E24C3"/>
    <w:rsid w:val="003F65F8"/>
    <w:rsid w:val="00421A16"/>
    <w:rsid w:val="0043572C"/>
    <w:rsid w:val="0048100A"/>
    <w:rsid w:val="004D4A33"/>
    <w:rsid w:val="00504E04"/>
    <w:rsid w:val="00542129"/>
    <w:rsid w:val="00552510"/>
    <w:rsid w:val="005840A7"/>
    <w:rsid w:val="0058718E"/>
    <w:rsid w:val="00597794"/>
    <w:rsid w:val="005D0BB6"/>
    <w:rsid w:val="0063081D"/>
    <w:rsid w:val="0065066E"/>
    <w:rsid w:val="00665C96"/>
    <w:rsid w:val="00674508"/>
    <w:rsid w:val="00681942"/>
    <w:rsid w:val="00694B5B"/>
    <w:rsid w:val="006A0B58"/>
    <w:rsid w:val="006A3FB2"/>
    <w:rsid w:val="006B5F5A"/>
    <w:rsid w:val="00727FB5"/>
    <w:rsid w:val="007423E0"/>
    <w:rsid w:val="007A33CA"/>
    <w:rsid w:val="007A6581"/>
    <w:rsid w:val="007D06DF"/>
    <w:rsid w:val="007D1423"/>
    <w:rsid w:val="00804098"/>
    <w:rsid w:val="008556EA"/>
    <w:rsid w:val="00857CDF"/>
    <w:rsid w:val="00872725"/>
    <w:rsid w:val="008E1E23"/>
    <w:rsid w:val="008E395B"/>
    <w:rsid w:val="009235A9"/>
    <w:rsid w:val="0093147B"/>
    <w:rsid w:val="009667A8"/>
    <w:rsid w:val="009677F1"/>
    <w:rsid w:val="00974919"/>
    <w:rsid w:val="009D37A7"/>
    <w:rsid w:val="00A137F0"/>
    <w:rsid w:val="00A40838"/>
    <w:rsid w:val="00A40FB6"/>
    <w:rsid w:val="00A410F3"/>
    <w:rsid w:val="00A64EA4"/>
    <w:rsid w:val="00A84B05"/>
    <w:rsid w:val="00A948E9"/>
    <w:rsid w:val="00AB44D0"/>
    <w:rsid w:val="00AF2330"/>
    <w:rsid w:val="00B30D4E"/>
    <w:rsid w:val="00B556CB"/>
    <w:rsid w:val="00BB4434"/>
    <w:rsid w:val="00BC3948"/>
    <w:rsid w:val="00BC568F"/>
    <w:rsid w:val="00BE328C"/>
    <w:rsid w:val="00BE669C"/>
    <w:rsid w:val="00BF03C7"/>
    <w:rsid w:val="00C57B83"/>
    <w:rsid w:val="00C71EFD"/>
    <w:rsid w:val="00CA0DB3"/>
    <w:rsid w:val="00CF6CB3"/>
    <w:rsid w:val="00D35009"/>
    <w:rsid w:val="00D56927"/>
    <w:rsid w:val="00DB7A2C"/>
    <w:rsid w:val="00DC57CA"/>
    <w:rsid w:val="00DD141F"/>
    <w:rsid w:val="00DF132D"/>
    <w:rsid w:val="00DF337A"/>
    <w:rsid w:val="00E105A1"/>
    <w:rsid w:val="00E21B22"/>
    <w:rsid w:val="00E35C3B"/>
    <w:rsid w:val="00E37CF4"/>
    <w:rsid w:val="00E61BCE"/>
    <w:rsid w:val="00F04674"/>
    <w:rsid w:val="00F20B0C"/>
    <w:rsid w:val="00F34FB9"/>
    <w:rsid w:val="00FC49F5"/>
    <w:rsid w:val="00FE1524"/>
    <w:rsid w:val="00FF1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48E9"/>
    <w:rPr>
      <w:color w:val="0000FF"/>
      <w:u w:val="single"/>
    </w:rPr>
  </w:style>
  <w:style w:type="paragraph" w:styleId="Header">
    <w:name w:val="header"/>
    <w:basedOn w:val="Normal"/>
    <w:link w:val="HeaderChar"/>
    <w:uiPriority w:val="99"/>
    <w:unhideWhenUsed/>
    <w:rsid w:val="001B3F2B"/>
    <w:pPr>
      <w:tabs>
        <w:tab w:val="center" w:pos="4680"/>
        <w:tab w:val="right" w:pos="9360"/>
      </w:tabs>
    </w:pPr>
  </w:style>
  <w:style w:type="character" w:customStyle="1" w:styleId="HeaderChar">
    <w:name w:val="Header Char"/>
    <w:basedOn w:val="DefaultParagraphFont"/>
    <w:link w:val="Header"/>
    <w:uiPriority w:val="99"/>
    <w:rsid w:val="001B3F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3F2B"/>
    <w:pPr>
      <w:tabs>
        <w:tab w:val="center" w:pos="4680"/>
        <w:tab w:val="right" w:pos="9360"/>
      </w:tabs>
    </w:pPr>
  </w:style>
  <w:style w:type="character" w:customStyle="1" w:styleId="FooterChar">
    <w:name w:val="Footer Char"/>
    <w:basedOn w:val="DefaultParagraphFont"/>
    <w:link w:val="Footer"/>
    <w:uiPriority w:val="99"/>
    <w:rsid w:val="001B3F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1942"/>
    <w:rPr>
      <w:rFonts w:ascii="Tahoma" w:hAnsi="Tahoma" w:cs="Tahoma"/>
      <w:sz w:val="16"/>
      <w:szCs w:val="16"/>
    </w:rPr>
  </w:style>
  <w:style w:type="character" w:customStyle="1" w:styleId="BalloonTextChar">
    <w:name w:val="Balloon Text Char"/>
    <w:basedOn w:val="DefaultParagraphFont"/>
    <w:link w:val="BalloonText"/>
    <w:uiPriority w:val="99"/>
    <w:semiHidden/>
    <w:rsid w:val="0068194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0DB3"/>
    <w:rPr>
      <w:sz w:val="16"/>
      <w:szCs w:val="16"/>
    </w:rPr>
  </w:style>
  <w:style w:type="paragraph" w:styleId="CommentText">
    <w:name w:val="annotation text"/>
    <w:basedOn w:val="Normal"/>
    <w:link w:val="CommentTextChar"/>
    <w:uiPriority w:val="99"/>
    <w:semiHidden/>
    <w:unhideWhenUsed/>
    <w:rsid w:val="00CA0DB3"/>
  </w:style>
  <w:style w:type="character" w:customStyle="1" w:styleId="CommentTextChar">
    <w:name w:val="Comment Text Char"/>
    <w:basedOn w:val="DefaultParagraphFont"/>
    <w:link w:val="CommentText"/>
    <w:uiPriority w:val="99"/>
    <w:semiHidden/>
    <w:rsid w:val="00CA0D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DB3"/>
    <w:rPr>
      <w:b/>
      <w:bCs/>
    </w:rPr>
  </w:style>
  <w:style w:type="character" w:customStyle="1" w:styleId="CommentSubjectChar">
    <w:name w:val="Comment Subject Char"/>
    <w:basedOn w:val="CommentTextChar"/>
    <w:link w:val="CommentSubject"/>
    <w:uiPriority w:val="99"/>
    <w:semiHidden/>
    <w:rsid w:val="00CA0DB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48E9"/>
    <w:rPr>
      <w:color w:val="0000FF"/>
      <w:u w:val="single"/>
    </w:rPr>
  </w:style>
  <w:style w:type="paragraph" w:styleId="Header">
    <w:name w:val="header"/>
    <w:basedOn w:val="Normal"/>
    <w:link w:val="HeaderChar"/>
    <w:uiPriority w:val="99"/>
    <w:unhideWhenUsed/>
    <w:rsid w:val="001B3F2B"/>
    <w:pPr>
      <w:tabs>
        <w:tab w:val="center" w:pos="4680"/>
        <w:tab w:val="right" w:pos="9360"/>
      </w:tabs>
    </w:pPr>
  </w:style>
  <w:style w:type="character" w:customStyle="1" w:styleId="HeaderChar">
    <w:name w:val="Header Char"/>
    <w:basedOn w:val="DefaultParagraphFont"/>
    <w:link w:val="Header"/>
    <w:uiPriority w:val="99"/>
    <w:rsid w:val="001B3F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3F2B"/>
    <w:pPr>
      <w:tabs>
        <w:tab w:val="center" w:pos="4680"/>
        <w:tab w:val="right" w:pos="9360"/>
      </w:tabs>
    </w:pPr>
  </w:style>
  <w:style w:type="character" w:customStyle="1" w:styleId="FooterChar">
    <w:name w:val="Footer Char"/>
    <w:basedOn w:val="DefaultParagraphFont"/>
    <w:link w:val="Footer"/>
    <w:uiPriority w:val="99"/>
    <w:rsid w:val="001B3F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1942"/>
    <w:rPr>
      <w:rFonts w:ascii="Tahoma" w:hAnsi="Tahoma" w:cs="Tahoma"/>
      <w:sz w:val="16"/>
      <w:szCs w:val="16"/>
    </w:rPr>
  </w:style>
  <w:style w:type="character" w:customStyle="1" w:styleId="BalloonTextChar">
    <w:name w:val="Balloon Text Char"/>
    <w:basedOn w:val="DefaultParagraphFont"/>
    <w:link w:val="BalloonText"/>
    <w:uiPriority w:val="99"/>
    <w:semiHidden/>
    <w:rsid w:val="0068194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0DB3"/>
    <w:rPr>
      <w:sz w:val="16"/>
      <w:szCs w:val="16"/>
    </w:rPr>
  </w:style>
  <w:style w:type="paragraph" w:styleId="CommentText">
    <w:name w:val="annotation text"/>
    <w:basedOn w:val="Normal"/>
    <w:link w:val="CommentTextChar"/>
    <w:uiPriority w:val="99"/>
    <w:semiHidden/>
    <w:unhideWhenUsed/>
    <w:rsid w:val="00CA0DB3"/>
  </w:style>
  <w:style w:type="character" w:customStyle="1" w:styleId="CommentTextChar">
    <w:name w:val="Comment Text Char"/>
    <w:basedOn w:val="DefaultParagraphFont"/>
    <w:link w:val="CommentText"/>
    <w:uiPriority w:val="99"/>
    <w:semiHidden/>
    <w:rsid w:val="00CA0D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DB3"/>
    <w:rPr>
      <w:b/>
      <w:bCs/>
    </w:rPr>
  </w:style>
  <w:style w:type="character" w:customStyle="1" w:styleId="CommentSubjectChar">
    <w:name w:val="Comment Subject Char"/>
    <w:basedOn w:val="CommentTextChar"/>
    <w:link w:val="CommentSubject"/>
    <w:uiPriority w:val="99"/>
    <w:semiHidden/>
    <w:rsid w:val="00CA0D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ep.cce.cornell.edu/profiles/extoxnet/carbaryl-dicrotophos/ddt-ex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sr.berkeley.edu/ucb_child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7447-0FC5-434B-8C8D-CDE759C4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Montana</cp:lastModifiedBy>
  <cp:revision>3</cp:revision>
  <cp:lastPrinted>2014-06-30T20:30:00Z</cp:lastPrinted>
  <dcterms:created xsi:type="dcterms:W3CDTF">2014-07-29T13:31:00Z</dcterms:created>
  <dcterms:modified xsi:type="dcterms:W3CDTF">2014-07-29T13:38:00Z</dcterms:modified>
</cp:coreProperties>
</file>